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EEC04" w14:textId="77777777" w:rsidR="0075749D" w:rsidRDefault="005C77D1">
      <w:pPr>
        <w:pStyle w:val="Heading2"/>
        <w:widowControl w:val="0"/>
        <w:spacing w:before="1" w:line="240" w:lineRule="auto"/>
        <w:ind w:right="112"/>
        <w:rPr>
          <w:b/>
          <w:sz w:val="36"/>
          <w:szCs w:val="36"/>
        </w:rPr>
      </w:pPr>
      <w:bookmarkStart w:id="0" w:name="_oo91lqetkp8a" w:colFirst="0" w:colLast="0"/>
      <w:bookmarkEnd w:id="0"/>
      <w:r>
        <w:rPr>
          <w:b/>
          <w:sz w:val="36"/>
          <w:szCs w:val="36"/>
        </w:rPr>
        <w:t>*|SMSF Name|*</w:t>
      </w:r>
    </w:p>
    <w:p w14:paraId="78E13549" w14:textId="77777777" w:rsidR="0075749D" w:rsidRDefault="005C77D1">
      <w:pPr>
        <w:pStyle w:val="Heading2"/>
        <w:rPr>
          <w:b/>
        </w:rPr>
      </w:pPr>
      <w:bookmarkStart w:id="1" w:name="_d3jp67cg5p8x" w:colFirst="0" w:colLast="0"/>
      <w:bookmarkEnd w:id="1"/>
      <w:r>
        <w:rPr>
          <w:b/>
        </w:rPr>
        <w:t>Investment Strategy</w:t>
      </w:r>
    </w:p>
    <w:p w14:paraId="72C61792" w14:textId="77777777" w:rsidR="0075749D" w:rsidRDefault="005C77D1">
      <w:pPr>
        <w:pStyle w:val="Heading3"/>
      </w:pPr>
      <w:bookmarkStart w:id="2" w:name="_dshpina9pzuz" w:colFirst="0" w:colLast="0"/>
      <w:bookmarkEnd w:id="2"/>
      <w:r>
        <w:t>Introduction</w:t>
      </w:r>
    </w:p>
    <w:p w14:paraId="3483252A" w14:textId="77777777" w:rsidR="0075749D" w:rsidRDefault="005C77D1">
      <w:r>
        <w:t>All self-managed super fund (SMSF) trustees are required under the Superannuation Laws (the Superannuation Industry Supervision Act 1993 - SISA) to prepare, implement and regularly review an investment strategy for the fund.</w:t>
      </w:r>
    </w:p>
    <w:p w14:paraId="2635901B" w14:textId="77777777" w:rsidR="0075749D" w:rsidRDefault="0075749D"/>
    <w:p w14:paraId="6FE61919" w14:textId="77777777" w:rsidR="0075749D" w:rsidRDefault="005C77D1">
      <w:pPr>
        <w:spacing w:after="340" w:line="320" w:lineRule="auto"/>
      </w:pPr>
      <w:r>
        <w:t xml:space="preserve">In particular, under SISA the </w:t>
      </w:r>
      <w:r>
        <w:t>investment strategy must consider the following specific factors in regard to the whole circumstances of the fund:</w:t>
      </w:r>
    </w:p>
    <w:p w14:paraId="695DC43F" w14:textId="77777777" w:rsidR="0075749D" w:rsidRDefault="005C77D1">
      <w:pPr>
        <w:numPr>
          <w:ilvl w:val="0"/>
          <w:numId w:val="1"/>
        </w:numPr>
        <w:spacing w:before="400"/>
      </w:pPr>
      <w:r>
        <w:t xml:space="preserve">risks involved in making, holding and </w:t>
      </w:r>
      <w:proofErr w:type="spellStart"/>
      <w:r>
        <w:t>realising</w:t>
      </w:r>
      <w:proofErr w:type="spellEnd"/>
      <w:r>
        <w:t>, and the likely return from your fund’s investments regarding its objectives and cash flow re</w:t>
      </w:r>
      <w:r>
        <w:t>quirements;</w:t>
      </w:r>
    </w:p>
    <w:p w14:paraId="4D3EA1F1" w14:textId="77777777" w:rsidR="0075749D" w:rsidRDefault="005C77D1">
      <w:pPr>
        <w:numPr>
          <w:ilvl w:val="0"/>
          <w:numId w:val="1"/>
        </w:numPr>
      </w:pPr>
      <w:r>
        <w:t>composition of your fund’s investments including the extent to which they are diverse (such as investing in a range of assets and asset classes) and the risks of inadequate diversification;</w:t>
      </w:r>
    </w:p>
    <w:p w14:paraId="76D77A75" w14:textId="77777777" w:rsidR="0075749D" w:rsidRDefault="005C77D1">
      <w:pPr>
        <w:numPr>
          <w:ilvl w:val="0"/>
          <w:numId w:val="1"/>
        </w:numPr>
      </w:pPr>
      <w:r>
        <w:t>liquidity of the fund’s assets (how easily they can be</w:t>
      </w:r>
      <w:r>
        <w:t xml:space="preserve"> converted to cash to meet fund expenses such as the cost of managing the fund and income tax expenses);</w:t>
      </w:r>
    </w:p>
    <w:p w14:paraId="4381C786" w14:textId="77777777" w:rsidR="0075749D" w:rsidRDefault="005C77D1">
      <w:pPr>
        <w:numPr>
          <w:ilvl w:val="0"/>
          <w:numId w:val="1"/>
        </w:numPr>
      </w:pPr>
      <w:r>
        <w:t>fund’s ability to pay benefits (such as when members retire and require a lump sum payment or regular pension payments) and other costs it incurs;</w:t>
      </w:r>
    </w:p>
    <w:p w14:paraId="64D0449B" w14:textId="77777777" w:rsidR="0075749D" w:rsidRDefault="005C77D1">
      <w:pPr>
        <w:numPr>
          <w:ilvl w:val="0"/>
          <w:numId w:val="1"/>
        </w:numPr>
        <w:spacing w:after="400"/>
      </w:pPr>
      <w:r>
        <w:t>whet</w:t>
      </w:r>
      <w:r>
        <w:t>her to hold insurance cover (such as life, permanent or temporary incapacity insurance) for each member of your SMSF.</w:t>
      </w:r>
    </w:p>
    <w:p w14:paraId="24E4E1DA" w14:textId="77777777" w:rsidR="0075749D" w:rsidRDefault="005C77D1">
      <w:pPr>
        <w:spacing w:before="80" w:after="400"/>
      </w:pPr>
      <w:r>
        <w:t>In addition, an SMSF cannot invest in assets that:</w:t>
      </w:r>
    </w:p>
    <w:p w14:paraId="7BB91F1D" w14:textId="77777777" w:rsidR="0075749D" w:rsidRDefault="005C77D1">
      <w:pPr>
        <w:numPr>
          <w:ilvl w:val="0"/>
          <w:numId w:val="2"/>
        </w:numPr>
        <w:spacing w:before="80"/>
      </w:pPr>
      <w:r>
        <w:t>are not permitted by the trust deed of the fund;</w:t>
      </w:r>
    </w:p>
    <w:p w14:paraId="07EBA136" w14:textId="77777777" w:rsidR="0075749D" w:rsidRDefault="005C77D1">
      <w:pPr>
        <w:numPr>
          <w:ilvl w:val="0"/>
          <w:numId w:val="2"/>
        </w:numPr>
      </w:pPr>
      <w:r>
        <w:t>are prohibited under the superannuatio</w:t>
      </w:r>
      <w:r>
        <w:t>n laws;</w:t>
      </w:r>
    </w:p>
    <w:p w14:paraId="759449E3" w14:textId="77777777" w:rsidR="0075749D" w:rsidRDefault="005C77D1">
      <w:pPr>
        <w:numPr>
          <w:ilvl w:val="0"/>
          <w:numId w:val="2"/>
        </w:numPr>
        <w:spacing w:after="400"/>
      </w:pPr>
      <w:r>
        <w:t>do not meet the sole purpose test.</w:t>
      </w:r>
    </w:p>
    <w:p w14:paraId="54E38F49" w14:textId="77777777" w:rsidR="0075749D" w:rsidRDefault="005C77D1">
      <w:pPr>
        <w:pStyle w:val="Heading3"/>
      </w:pPr>
      <w:bookmarkStart w:id="3" w:name="_hejykv162wer" w:colFirst="0" w:colLast="0"/>
      <w:bookmarkEnd w:id="3"/>
      <w:r>
        <w:t>Investment Objectives of the Fund</w:t>
      </w:r>
    </w:p>
    <w:p w14:paraId="38FCCD3E" w14:textId="77777777" w:rsidR="0075749D" w:rsidRDefault="005C77D1">
      <w:pPr>
        <w:ind w:right="100"/>
        <w:jc w:val="both"/>
      </w:pPr>
      <w:r>
        <w:t xml:space="preserve">The overriding objective of the Trustee(s) of the fund is to </w:t>
      </w:r>
      <w:proofErr w:type="spellStart"/>
      <w:r>
        <w:t>maximise</w:t>
      </w:r>
      <w:proofErr w:type="spellEnd"/>
      <w:r>
        <w:t xml:space="preserve"> the retirement benefits of all members having regard to the rules of the deed, SISA investment rules, risk an</w:t>
      </w:r>
      <w:r>
        <w:t>d reward.</w:t>
      </w:r>
    </w:p>
    <w:p w14:paraId="555AA8AD" w14:textId="77777777" w:rsidR="0075749D" w:rsidRDefault="0075749D">
      <w:pPr>
        <w:ind w:right="100"/>
        <w:jc w:val="both"/>
      </w:pPr>
    </w:p>
    <w:p w14:paraId="1205D6EF" w14:textId="77777777" w:rsidR="0075749D" w:rsidRDefault="0075749D">
      <w:pPr>
        <w:ind w:right="100"/>
        <w:jc w:val="both"/>
      </w:pPr>
    </w:p>
    <w:p w14:paraId="05133963" w14:textId="77777777" w:rsidR="0075749D" w:rsidRDefault="005C77D1">
      <w:pPr>
        <w:ind w:right="100"/>
        <w:jc w:val="both"/>
      </w:pPr>
      <w:r>
        <w:t>The Trustee(s) investment approach in regards to risk and return, diversification, liquidity, benefit payments and insurance are outlined below:</w:t>
      </w:r>
    </w:p>
    <w:p w14:paraId="4D8D4509" w14:textId="77777777" w:rsidR="0075749D" w:rsidRDefault="005C77D1">
      <w:pPr>
        <w:pStyle w:val="Heading4"/>
      </w:pPr>
      <w:bookmarkStart w:id="4" w:name="_rp2tmzgfu43v" w:colFirst="0" w:colLast="0"/>
      <w:bookmarkEnd w:id="4"/>
      <w:r>
        <w:lastRenderedPageBreak/>
        <w:t>Risk &amp; Return</w:t>
      </w:r>
    </w:p>
    <w:p w14:paraId="3F9E3B58" w14:textId="77777777" w:rsidR="0075749D" w:rsidRDefault="005C77D1">
      <w:r>
        <w:t xml:space="preserve">Due to the relatively long investment time frames available based on the age and time to retirement of the fund members, the Trustee(s) will implement a strategy focused on growth assets that will provide the greatest </w:t>
      </w:r>
      <w:proofErr w:type="gramStart"/>
      <w:r>
        <w:t>long term</w:t>
      </w:r>
      <w:proofErr w:type="gramEnd"/>
      <w:r>
        <w:t xml:space="preserve"> return.</w:t>
      </w:r>
    </w:p>
    <w:p w14:paraId="345766FA" w14:textId="77777777" w:rsidR="0075749D" w:rsidRDefault="0075749D"/>
    <w:p w14:paraId="18164DA7" w14:textId="77777777" w:rsidR="0075749D" w:rsidRDefault="005C77D1">
      <w:r>
        <w:t>The Trustee(s) ackn</w:t>
      </w:r>
      <w:r>
        <w:t>owledges that higher returns also require higher short-term risk and volatility in terms of valuations, however this is acceptable due to the long investment horizon available.</w:t>
      </w:r>
    </w:p>
    <w:p w14:paraId="2AADC86D" w14:textId="77777777" w:rsidR="0075749D" w:rsidRDefault="0075749D"/>
    <w:p w14:paraId="67EEBF62" w14:textId="77777777" w:rsidR="0075749D" w:rsidRDefault="005C77D1">
      <w:r>
        <w:t xml:space="preserve">Key asset types that the Trustee(s) will focus on to achieve higher levels of </w:t>
      </w:r>
      <w:r>
        <w:t>growth include (but are not limited to) listed US and international stocks or ETFs, listed Australian shares or ETFs, managed investments and digital assets including cryptocurrency (either directly held or exposure via a share, stock, ETF or managed inves</w:t>
      </w:r>
      <w:r>
        <w:t>tment structure).</w:t>
      </w:r>
    </w:p>
    <w:p w14:paraId="4D30FEDF" w14:textId="77777777" w:rsidR="0075749D" w:rsidRDefault="005C77D1">
      <w:pPr>
        <w:pStyle w:val="Heading4"/>
      </w:pPr>
      <w:bookmarkStart w:id="5" w:name="_ursz9hy0gfhx" w:colFirst="0" w:colLast="0"/>
      <w:bookmarkEnd w:id="5"/>
      <w:r>
        <w:t>Diversification</w:t>
      </w:r>
    </w:p>
    <w:p w14:paraId="6BAE9CE8" w14:textId="77777777" w:rsidR="0075749D" w:rsidRDefault="005C77D1">
      <w:r>
        <w:t>The Trustee(s) acknowledge the benefits of diversification to smooth out investment returns and reduce volatility of investment values.  The Trustee(s) approach to diversification will vary depending on where the highest l</w:t>
      </w:r>
      <w:r>
        <w:t xml:space="preserve">ong term growth opportunities are perceived to be.  </w:t>
      </w:r>
    </w:p>
    <w:p w14:paraId="24C65FB4" w14:textId="77777777" w:rsidR="0075749D" w:rsidRDefault="0075749D"/>
    <w:p w14:paraId="695233C3" w14:textId="77777777" w:rsidR="0075749D" w:rsidRDefault="005C77D1">
      <w:r>
        <w:t xml:space="preserve">This means that depending on market conditions there may be periods where the level of diversification in terms of asset type, market or sector is very low, </w:t>
      </w:r>
      <w:proofErr w:type="gramStart"/>
      <w:r>
        <w:t>i.e.</w:t>
      </w:r>
      <w:proofErr w:type="gramEnd"/>
      <w:r>
        <w:t xml:space="preserve"> where the Trustee(s) believe a focused s</w:t>
      </w:r>
      <w:r>
        <w:t xml:space="preserve">trategy is most appropriate in achieving the desired returns even </w:t>
      </w:r>
      <w:proofErr w:type="spellStart"/>
      <w:r>
        <w:t>through</w:t>
      </w:r>
      <w:proofErr w:type="spellEnd"/>
      <w:r>
        <w:t xml:space="preserve"> it may mean short term volatility in asset values.</w:t>
      </w:r>
    </w:p>
    <w:p w14:paraId="1198A299" w14:textId="77777777" w:rsidR="0075749D" w:rsidRDefault="0075749D"/>
    <w:p w14:paraId="27A28A7F" w14:textId="77777777" w:rsidR="0075749D" w:rsidRDefault="005C77D1">
      <w:r>
        <w:t xml:space="preserve">The Trustee(s) will </w:t>
      </w:r>
      <w:proofErr w:type="spellStart"/>
      <w:r>
        <w:t>utilise</w:t>
      </w:r>
      <w:proofErr w:type="spellEnd"/>
      <w:r>
        <w:t xml:space="preserve"> listed US and international stocks or ETFs, listed Australian shares or ETFs, managed investments and </w:t>
      </w:r>
      <w:r>
        <w:t>digital assets including cryptocurrency to achieve the desired level of diversification and rebalance from time to time as required.</w:t>
      </w:r>
    </w:p>
    <w:p w14:paraId="21A7E57B" w14:textId="77777777" w:rsidR="0075749D" w:rsidRDefault="005C77D1">
      <w:pPr>
        <w:pStyle w:val="Heading4"/>
      </w:pPr>
      <w:bookmarkStart w:id="6" w:name="_vs9em4fwb13e" w:colFirst="0" w:colLast="0"/>
      <w:bookmarkEnd w:id="6"/>
      <w:r>
        <w:t>Liquidity</w:t>
      </w:r>
    </w:p>
    <w:p w14:paraId="411B7421" w14:textId="77777777" w:rsidR="0075749D" w:rsidRDefault="005C77D1">
      <w:r>
        <w:t>The cash flow requirements of the fund are minimal and need to cover the payment of modest expenses, insurance pr</w:t>
      </w:r>
      <w:r>
        <w:t>emiums (where fund holds insurance policies) and payment of taxes.</w:t>
      </w:r>
    </w:p>
    <w:p w14:paraId="5542E4A9" w14:textId="77777777" w:rsidR="0075749D" w:rsidRDefault="0075749D"/>
    <w:p w14:paraId="024B1CF6" w14:textId="77777777" w:rsidR="0075749D" w:rsidRDefault="005C77D1">
      <w:r>
        <w:t xml:space="preserve">Cash flow is received in the form of deposits from employer and member contributions as well as dividends, distributions and other income generated from investments. </w:t>
      </w:r>
    </w:p>
    <w:p w14:paraId="16A2BC9F" w14:textId="77777777" w:rsidR="0075749D" w:rsidRDefault="0075749D"/>
    <w:p w14:paraId="7C2ADC87" w14:textId="77777777" w:rsidR="0075749D" w:rsidRDefault="005C77D1">
      <w:r>
        <w:t xml:space="preserve">The majority of the </w:t>
      </w:r>
      <w:r>
        <w:t xml:space="preserve">investments of the fund will be held in liquid investments that can quickly be converted into cash. The Trustee(s) have determined that in general the fund will maintain a relatively low level of cash at most times however will sometimes accumulate larger </w:t>
      </w:r>
      <w:r>
        <w:t>amounts of cash when no suitable investment opportunities are available.</w:t>
      </w:r>
    </w:p>
    <w:p w14:paraId="135B23CD" w14:textId="77777777" w:rsidR="0075749D" w:rsidRDefault="005C77D1">
      <w:pPr>
        <w:pStyle w:val="Heading4"/>
      </w:pPr>
      <w:bookmarkStart w:id="7" w:name="_gkxa9oed6vcg" w:colFirst="0" w:colLast="0"/>
      <w:bookmarkEnd w:id="7"/>
      <w:r>
        <w:lastRenderedPageBreak/>
        <w:t>Payment of Benefits</w:t>
      </w:r>
    </w:p>
    <w:p w14:paraId="2A793396" w14:textId="77777777" w:rsidR="0075749D" w:rsidRDefault="005C77D1">
      <w:r>
        <w:t>The fund currently supports members in the accumulation phase.  There are no members in the pension phase who are drawing an income stream from the fund or who req</w:t>
      </w:r>
      <w:r>
        <w:t>uire access to lump sums.</w:t>
      </w:r>
    </w:p>
    <w:p w14:paraId="06BCB93E" w14:textId="77777777" w:rsidR="0075749D" w:rsidRDefault="0075749D"/>
    <w:p w14:paraId="111B3866" w14:textId="77777777" w:rsidR="0075749D" w:rsidRDefault="005C77D1">
      <w:r>
        <w:t xml:space="preserve">As the members of the fund approach the pension phase, or if there is a change in circumstances where one or more of the members becomes eligible to draw an income stream or take a lump sum payment, the Trustee(s) will rebalance </w:t>
      </w:r>
      <w:r>
        <w:t xml:space="preserve">the portfolio and where necessary sell investments to ensure enough cash is available for the payment of the benefits. </w:t>
      </w:r>
    </w:p>
    <w:p w14:paraId="5C4F4F5C" w14:textId="77777777" w:rsidR="0075749D" w:rsidRDefault="005C77D1">
      <w:pPr>
        <w:pStyle w:val="Heading4"/>
      </w:pPr>
      <w:bookmarkStart w:id="8" w:name="_9ftwm2vljpxi" w:colFirst="0" w:colLast="0"/>
      <w:bookmarkEnd w:id="8"/>
      <w:r>
        <w:t>Insurance Cover</w:t>
      </w:r>
    </w:p>
    <w:p w14:paraId="69A46000" w14:textId="77777777" w:rsidR="0075749D" w:rsidRDefault="005C77D1">
      <w:r>
        <w:t>The Trustee(s) acknowledge the requirement under Superannuation law to consider whether the fund should hold insurance p</w:t>
      </w:r>
      <w:r>
        <w:t>olicies, namely life insurance and total and permanent disability insurance on behalf of their members.</w:t>
      </w:r>
    </w:p>
    <w:p w14:paraId="6203C933" w14:textId="77777777" w:rsidR="0075749D" w:rsidRDefault="0075749D"/>
    <w:p w14:paraId="464A8444" w14:textId="77777777" w:rsidR="0075749D" w:rsidRDefault="005C77D1">
      <w:r>
        <w:t>The Trustee(s) of the fund have reviewed the member’s superannuation benefits, their family and other circumstances and have decided only to take out i</w:t>
      </w:r>
      <w:r>
        <w:t>nsurance cover for one of more members of the fund where:</w:t>
      </w:r>
    </w:p>
    <w:p w14:paraId="33C0FD45" w14:textId="77777777" w:rsidR="0075749D" w:rsidRDefault="0075749D"/>
    <w:p w14:paraId="0DC10E5F" w14:textId="77777777" w:rsidR="0075749D" w:rsidRDefault="005C77D1">
      <w:pPr>
        <w:numPr>
          <w:ilvl w:val="0"/>
          <w:numId w:val="3"/>
        </w:numPr>
      </w:pPr>
      <w:r>
        <w:t>The insurance is appropriate in terms of the amount of cover being provided;</w:t>
      </w:r>
    </w:p>
    <w:p w14:paraId="4250FEDF" w14:textId="77777777" w:rsidR="0075749D" w:rsidRDefault="005C77D1">
      <w:pPr>
        <w:numPr>
          <w:ilvl w:val="0"/>
          <w:numId w:val="3"/>
        </w:numPr>
      </w:pPr>
      <w:r>
        <w:t>The premiums relating to the insurance cover are reasonable;</w:t>
      </w:r>
    </w:p>
    <w:p w14:paraId="384E78DE" w14:textId="77777777" w:rsidR="0075749D" w:rsidRDefault="005C77D1">
      <w:pPr>
        <w:numPr>
          <w:ilvl w:val="0"/>
          <w:numId w:val="3"/>
        </w:numPr>
      </w:pPr>
      <w:r>
        <w:t>The premiums are comparative with existing insurance cover which may be in place under existing superannuation fund accounts;</w:t>
      </w:r>
    </w:p>
    <w:p w14:paraId="357FBDE8" w14:textId="77777777" w:rsidR="0075749D" w:rsidRDefault="0075749D"/>
    <w:p w14:paraId="00A53E48" w14:textId="77777777" w:rsidR="0075749D" w:rsidRDefault="005C77D1">
      <w:r>
        <w:t>The Trustee(s) also acknowledge there may be circumstances where maintaining existing cover attached to an existing APRA regulate</w:t>
      </w:r>
      <w:r>
        <w:t xml:space="preserve">d superannuation account may be the best outcome for members. For </w:t>
      </w:r>
      <w:proofErr w:type="gramStart"/>
      <w:r>
        <w:t>example</w:t>
      </w:r>
      <w:proofErr w:type="gramEnd"/>
      <w:r>
        <w:t xml:space="preserve"> where an employer pays additional contributions to cover the cost of the insurance premiums or where the member has pre-existing medical conditions which may make it difficult to obt</w:t>
      </w:r>
      <w:r>
        <w:t>ain appropriate retail insurance cover.</w:t>
      </w:r>
    </w:p>
    <w:p w14:paraId="5E531131" w14:textId="77777777" w:rsidR="0075749D" w:rsidRDefault="005C77D1">
      <w:pPr>
        <w:pStyle w:val="Title"/>
        <w:keepNext w:val="0"/>
        <w:keepLines w:val="0"/>
        <w:widowControl w:val="0"/>
        <w:spacing w:before="26" w:after="0" w:line="240" w:lineRule="auto"/>
        <w:ind w:right="1"/>
        <w:jc w:val="center"/>
        <w:rPr>
          <w:b/>
          <w:sz w:val="28"/>
          <w:szCs w:val="28"/>
        </w:rPr>
      </w:pPr>
      <w:bookmarkStart w:id="9" w:name="_hkdlqfqr0dkr" w:colFirst="0" w:colLast="0"/>
      <w:bookmarkEnd w:id="9"/>
      <w:r>
        <w:br w:type="page"/>
      </w:r>
    </w:p>
    <w:p w14:paraId="33C7781E" w14:textId="77777777" w:rsidR="0075749D" w:rsidRDefault="005C77D1">
      <w:pPr>
        <w:pStyle w:val="Title"/>
        <w:keepNext w:val="0"/>
        <w:keepLines w:val="0"/>
        <w:widowControl w:val="0"/>
        <w:spacing w:before="26" w:after="0" w:line="240" w:lineRule="auto"/>
        <w:ind w:right="1"/>
        <w:jc w:val="center"/>
        <w:rPr>
          <w:b/>
          <w:sz w:val="28"/>
          <w:szCs w:val="28"/>
        </w:rPr>
      </w:pPr>
      <w:bookmarkStart w:id="10" w:name="_irvwzyes2hhd" w:colFirst="0" w:colLast="0"/>
      <w:bookmarkEnd w:id="10"/>
      <w:r>
        <w:rPr>
          <w:b/>
          <w:sz w:val="28"/>
          <w:szCs w:val="28"/>
        </w:rPr>
        <w:lastRenderedPageBreak/>
        <w:t>Director Resolution</w:t>
      </w:r>
    </w:p>
    <w:p w14:paraId="0657EABF" w14:textId="77777777" w:rsidR="0075749D" w:rsidRDefault="0075749D">
      <w:pPr>
        <w:widowControl w:val="0"/>
        <w:spacing w:before="4" w:line="240" w:lineRule="auto"/>
        <w:rPr>
          <w:b/>
          <w:sz w:val="36"/>
          <w:szCs w:val="36"/>
        </w:rPr>
      </w:pPr>
    </w:p>
    <w:p w14:paraId="75D55EAD" w14:textId="77777777" w:rsidR="0075749D" w:rsidRDefault="005C77D1">
      <w:pPr>
        <w:pStyle w:val="Heading1"/>
        <w:keepNext w:val="0"/>
        <w:keepLines w:val="0"/>
        <w:widowControl w:val="0"/>
        <w:spacing w:before="1" w:after="0" w:line="240" w:lineRule="auto"/>
        <w:jc w:val="center"/>
        <w:rPr>
          <w:b/>
          <w:smallCaps/>
          <w:sz w:val="22"/>
          <w:szCs w:val="22"/>
        </w:rPr>
      </w:pPr>
      <w:bookmarkStart w:id="11" w:name="_a0uzlgd3fnuj" w:colFirst="0" w:colLast="0"/>
      <w:bookmarkEnd w:id="11"/>
      <w:r>
        <w:rPr>
          <w:b/>
          <w:smallCaps/>
          <w:sz w:val="22"/>
          <w:szCs w:val="22"/>
        </w:rPr>
        <w:t>*|SMSF TRUSTEE COMPANY|* - ACN *|COMPANY A.C.N.|*</w:t>
      </w:r>
    </w:p>
    <w:p w14:paraId="159E0305" w14:textId="77777777" w:rsidR="0075749D" w:rsidRDefault="0075749D">
      <w:pPr>
        <w:widowControl w:val="0"/>
        <w:spacing w:line="240" w:lineRule="auto"/>
        <w:rPr>
          <w:b/>
          <w:sz w:val="20"/>
          <w:szCs w:val="20"/>
        </w:rPr>
      </w:pPr>
    </w:p>
    <w:p w14:paraId="69E68725" w14:textId="77777777" w:rsidR="0075749D" w:rsidRDefault="005C77D1">
      <w:pPr>
        <w:jc w:val="both"/>
        <w:rPr>
          <w:b/>
        </w:rPr>
      </w:pPr>
      <w:r>
        <w:rPr>
          <w:b/>
        </w:rPr>
        <w:t>ADOPTION OF INITIAL INVESTMENT STRATEGY</w:t>
      </w:r>
    </w:p>
    <w:p w14:paraId="4BDB7659" w14:textId="77777777" w:rsidR="0075749D" w:rsidRDefault="005C77D1">
      <w:pPr>
        <w:pStyle w:val="Heading2"/>
        <w:widowControl w:val="0"/>
        <w:spacing w:before="1" w:line="240" w:lineRule="auto"/>
        <w:ind w:right="112"/>
        <w:rPr>
          <w:b/>
        </w:rPr>
      </w:pPr>
      <w:bookmarkStart w:id="12" w:name="_kzjzpo1puu6e" w:colFirst="0" w:colLast="0"/>
      <w:bookmarkEnd w:id="12"/>
      <w:r>
        <w:rPr>
          <w:b/>
          <w:sz w:val="22"/>
          <w:szCs w:val="22"/>
        </w:rPr>
        <w:t>*|SMSF NAME|*</w:t>
      </w:r>
    </w:p>
    <w:p w14:paraId="3D58215A" w14:textId="77777777" w:rsidR="0075749D" w:rsidRDefault="005C77D1">
      <w:pPr>
        <w:spacing w:line="261" w:lineRule="auto"/>
        <w:rPr>
          <w:sz w:val="24"/>
          <w:szCs w:val="24"/>
        </w:rPr>
      </w:pPr>
      <w:r>
        <w:rPr>
          <w:sz w:val="24"/>
          <w:szCs w:val="24"/>
        </w:rPr>
        <w:t xml:space="preserve"> </w:t>
      </w:r>
    </w:p>
    <w:p w14:paraId="79045E8C" w14:textId="77777777" w:rsidR="0075749D" w:rsidRDefault="005C77D1">
      <w:pPr>
        <w:ind w:right="100"/>
        <w:jc w:val="both"/>
      </w:pPr>
      <w:r>
        <w:t>It is noted that the Trustee(s) have formulated investment objectives for the fund and an investment strategy to achieve those objectives having regard to the whole of the circumstances of the fund, including:</w:t>
      </w:r>
    </w:p>
    <w:p w14:paraId="37AC0D6E" w14:textId="77777777" w:rsidR="0075749D" w:rsidRDefault="005C77D1">
      <w:pPr>
        <w:spacing w:line="261" w:lineRule="auto"/>
        <w:rPr>
          <w:sz w:val="24"/>
          <w:szCs w:val="24"/>
        </w:rPr>
      </w:pPr>
      <w:r>
        <w:rPr>
          <w:sz w:val="24"/>
          <w:szCs w:val="24"/>
        </w:rPr>
        <w:t xml:space="preserve"> </w:t>
      </w:r>
    </w:p>
    <w:p w14:paraId="5E8C1671" w14:textId="77777777" w:rsidR="0075749D" w:rsidRDefault="005C77D1">
      <w:pPr>
        <w:numPr>
          <w:ilvl w:val="0"/>
          <w:numId w:val="4"/>
        </w:numPr>
        <w:ind w:right="100"/>
      </w:pPr>
      <w:r>
        <w:t xml:space="preserve">the risk involved in making, holding and </w:t>
      </w:r>
      <w:proofErr w:type="spellStart"/>
      <w:r>
        <w:t>rea</w:t>
      </w:r>
      <w:r>
        <w:t>lising</w:t>
      </w:r>
      <w:proofErr w:type="spellEnd"/>
      <w:r>
        <w:t>, and the likely return from the fund’s investments having regard to its objectives and its expected cash flow requirements;</w:t>
      </w:r>
    </w:p>
    <w:p w14:paraId="3F45D2F4" w14:textId="77777777" w:rsidR="0075749D" w:rsidRDefault="005C77D1">
      <w:pPr>
        <w:numPr>
          <w:ilvl w:val="0"/>
          <w:numId w:val="4"/>
        </w:numPr>
        <w:ind w:right="100"/>
      </w:pPr>
      <w:r>
        <w:t>the composition of the fund’s investments as a whole including the extent to which the investments are diverse or involve the</w:t>
      </w:r>
      <w:r>
        <w:t xml:space="preserve"> entity in being exposed to risks from inadequate diversification;</w:t>
      </w:r>
    </w:p>
    <w:p w14:paraId="74BAB5AD" w14:textId="77777777" w:rsidR="0075749D" w:rsidRDefault="005C77D1">
      <w:pPr>
        <w:numPr>
          <w:ilvl w:val="0"/>
          <w:numId w:val="4"/>
        </w:numPr>
      </w:pPr>
      <w:r>
        <w:t>the liquidity of the entity's investments having regard to its expected cash flow requirements including:</w:t>
      </w:r>
    </w:p>
    <w:p w14:paraId="39D8A249" w14:textId="77777777" w:rsidR="0075749D" w:rsidRDefault="005C77D1">
      <w:pPr>
        <w:numPr>
          <w:ilvl w:val="1"/>
          <w:numId w:val="4"/>
        </w:numPr>
      </w:pPr>
      <w:r>
        <w:t>the ability of the entity to discharge its existing and prospective liabilities;</w:t>
      </w:r>
    </w:p>
    <w:p w14:paraId="46D6AED9" w14:textId="77777777" w:rsidR="0075749D" w:rsidRDefault="005C77D1">
      <w:pPr>
        <w:numPr>
          <w:ilvl w:val="1"/>
          <w:numId w:val="4"/>
        </w:numPr>
      </w:pPr>
      <w:r>
        <w:t>the fund profile;</w:t>
      </w:r>
    </w:p>
    <w:p w14:paraId="34FE9CFD" w14:textId="77777777" w:rsidR="0075749D" w:rsidRDefault="005C77D1">
      <w:pPr>
        <w:numPr>
          <w:ilvl w:val="1"/>
          <w:numId w:val="4"/>
        </w:numPr>
      </w:pPr>
      <w:r>
        <w:t>anticipated future contributions;</w:t>
      </w:r>
    </w:p>
    <w:p w14:paraId="26D96DCE" w14:textId="77777777" w:rsidR="0075749D" w:rsidRDefault="005C77D1">
      <w:pPr>
        <w:numPr>
          <w:ilvl w:val="1"/>
          <w:numId w:val="4"/>
        </w:numPr>
      </w:pPr>
      <w:r>
        <w:t>past investment performance; and</w:t>
      </w:r>
    </w:p>
    <w:p w14:paraId="7E562DC8" w14:textId="77777777" w:rsidR="0075749D" w:rsidRDefault="005C77D1">
      <w:pPr>
        <w:numPr>
          <w:ilvl w:val="1"/>
          <w:numId w:val="4"/>
        </w:numPr>
      </w:pPr>
      <w:r>
        <w:t>the current investment portfolio and asset mix,</w:t>
      </w:r>
    </w:p>
    <w:p w14:paraId="4B274977" w14:textId="77777777" w:rsidR="0075749D" w:rsidRDefault="005C77D1">
      <w:pPr>
        <w:spacing w:line="261" w:lineRule="auto"/>
        <w:rPr>
          <w:sz w:val="24"/>
          <w:szCs w:val="24"/>
        </w:rPr>
      </w:pPr>
      <w:r>
        <w:rPr>
          <w:sz w:val="24"/>
          <w:szCs w:val="24"/>
        </w:rPr>
        <w:t xml:space="preserve"> </w:t>
      </w:r>
    </w:p>
    <w:p w14:paraId="3D3A4527" w14:textId="77777777" w:rsidR="0075749D" w:rsidRDefault="005C77D1">
      <w:pPr>
        <w:ind w:right="100"/>
        <w:jc w:val="both"/>
        <w:rPr>
          <w:sz w:val="24"/>
          <w:szCs w:val="24"/>
        </w:rPr>
      </w:pPr>
      <w:r>
        <w:t xml:space="preserve">The </w:t>
      </w:r>
      <w:proofErr w:type="spellStart"/>
      <w:r>
        <w:t>Truste</w:t>
      </w:r>
      <w:proofErr w:type="spellEnd"/>
      <w:r>
        <w:t>(s) resolved to adopt the inve</w:t>
      </w:r>
      <w:r>
        <w:t xml:space="preserve">stment objectives of the fund being “The Trustees of the fund have the objective of maintaining the fund in line with the governing rules of the fund and SISA and through its investment strategy seeking to </w:t>
      </w:r>
      <w:proofErr w:type="spellStart"/>
      <w:r>
        <w:t>maximise</w:t>
      </w:r>
      <w:proofErr w:type="spellEnd"/>
      <w:r>
        <w:t xml:space="preserve"> the superannuation benefits of all member</w:t>
      </w:r>
      <w:r>
        <w:t>s of the fund having regard to risk and reward” and adopt and implement the investment strategy herein.</w:t>
      </w:r>
    </w:p>
    <w:p w14:paraId="7F7BCAB9" w14:textId="77777777" w:rsidR="0075749D" w:rsidRDefault="0075749D">
      <w:pPr>
        <w:pStyle w:val="Heading1"/>
        <w:keepNext w:val="0"/>
        <w:keepLines w:val="0"/>
        <w:widowControl w:val="0"/>
        <w:spacing w:before="0" w:after="0" w:line="240" w:lineRule="auto"/>
        <w:ind w:left="140"/>
        <w:rPr>
          <w:b/>
          <w:sz w:val="22"/>
          <w:szCs w:val="22"/>
        </w:rPr>
      </w:pPr>
      <w:bookmarkStart w:id="13" w:name="_gkjuv7jxgfe6" w:colFirst="0" w:colLast="0"/>
      <w:bookmarkEnd w:id="13"/>
    </w:p>
    <w:p w14:paraId="4B1D0814" w14:textId="77777777" w:rsidR="0075749D" w:rsidRDefault="005C77D1">
      <w:pPr>
        <w:pStyle w:val="Heading1"/>
        <w:keepNext w:val="0"/>
        <w:keepLines w:val="0"/>
        <w:widowControl w:val="0"/>
        <w:spacing w:before="0" w:after="0" w:line="240" w:lineRule="auto"/>
        <w:ind w:left="140"/>
        <w:rPr>
          <w:b/>
          <w:sz w:val="22"/>
          <w:szCs w:val="22"/>
        </w:rPr>
      </w:pPr>
      <w:bookmarkStart w:id="14" w:name="_7h5rum8fg7t7" w:colFirst="0" w:colLast="0"/>
      <w:bookmarkEnd w:id="14"/>
      <w:r>
        <w:rPr>
          <w:b/>
          <w:sz w:val="22"/>
          <w:szCs w:val="22"/>
        </w:rPr>
        <w:t>The Director(s)</w:t>
      </w:r>
    </w:p>
    <w:p w14:paraId="33CBBE42" w14:textId="77777777" w:rsidR="0075749D" w:rsidRDefault="005C77D1">
      <w:pPr>
        <w:widowControl w:val="0"/>
        <w:spacing w:before="2" w:line="482" w:lineRule="auto"/>
        <w:ind w:left="136" w:right="397"/>
        <w:rPr>
          <w:b/>
        </w:rPr>
      </w:pPr>
      <w:r>
        <w:rPr>
          <w:b/>
        </w:rPr>
        <w:t>_____________________________________________________________________</w:t>
      </w:r>
    </w:p>
    <w:p w14:paraId="2A4EBF65" w14:textId="77777777" w:rsidR="0075749D" w:rsidRDefault="005C77D1">
      <w:pPr>
        <w:widowControl w:val="0"/>
        <w:spacing w:before="59" w:line="240" w:lineRule="auto"/>
      </w:pPr>
      <w:r>
        <w:t>Signed, Sealed and Delivered by *|SMSF Trustee Company|* - ACN *|</w:t>
      </w:r>
      <w:r>
        <w:t>Company A.C.N.|* by the Directors:</w:t>
      </w:r>
    </w:p>
    <w:p w14:paraId="2A11623B" w14:textId="77777777" w:rsidR="0075749D" w:rsidRDefault="0075749D">
      <w:pPr>
        <w:widowControl w:val="0"/>
        <w:spacing w:line="240" w:lineRule="auto"/>
      </w:pPr>
    </w:p>
    <w:tbl>
      <w:tblPr>
        <w:tblStyle w:val="a"/>
        <w:tblW w:w="9526" w:type="dxa"/>
        <w:tblBorders>
          <w:top w:val="nil"/>
          <w:left w:val="nil"/>
          <w:bottom w:val="nil"/>
          <w:right w:val="nil"/>
          <w:insideH w:val="nil"/>
          <w:insideV w:val="nil"/>
        </w:tblBorders>
        <w:tblLayout w:type="fixed"/>
        <w:tblLook w:val="0400" w:firstRow="0" w:lastRow="0" w:firstColumn="0" w:lastColumn="0" w:noHBand="0" w:noVBand="1"/>
      </w:tblPr>
      <w:tblGrid>
        <w:gridCol w:w="4645"/>
        <w:gridCol w:w="236"/>
        <w:gridCol w:w="4645"/>
      </w:tblGrid>
      <w:tr w:rsidR="0075749D" w14:paraId="59942DE2" w14:textId="77777777">
        <w:tc>
          <w:tcPr>
            <w:tcW w:w="4652" w:type="dxa"/>
          </w:tcPr>
          <w:p w14:paraId="77F2316B" w14:textId="77777777" w:rsidR="0075749D" w:rsidRDefault="005C77D1">
            <w:pPr>
              <w:spacing w:line="240" w:lineRule="auto"/>
              <w:rPr>
                <w:color w:val="FFFFFF"/>
                <w:sz w:val="34"/>
                <w:szCs w:val="34"/>
              </w:rPr>
            </w:pPr>
            <w:r>
              <w:rPr>
                <w:color w:val="FFFFFF"/>
                <w:sz w:val="34"/>
                <w:szCs w:val="34"/>
              </w:rPr>
              <w:t>{{Sig_es</w:t>
            </w:r>
            <w:proofErr w:type="gramStart"/>
            <w:r>
              <w:rPr>
                <w:color w:val="FFFFFF"/>
                <w:sz w:val="34"/>
                <w:szCs w:val="34"/>
              </w:rPr>
              <w:t>_:signer</w:t>
            </w:r>
            <w:proofErr w:type="gramEnd"/>
            <w:r>
              <w:rPr>
                <w:color w:val="FFFFFF"/>
                <w:sz w:val="34"/>
                <w:szCs w:val="34"/>
              </w:rPr>
              <w:t>1:signature}}</w:t>
            </w:r>
          </w:p>
        </w:tc>
        <w:tc>
          <w:tcPr>
            <w:tcW w:w="222" w:type="dxa"/>
          </w:tcPr>
          <w:p w14:paraId="215EDAB9" w14:textId="77777777" w:rsidR="0075749D" w:rsidRDefault="0075749D">
            <w:pPr>
              <w:spacing w:line="240" w:lineRule="auto"/>
              <w:rPr>
                <w:color w:val="FFFFFF"/>
                <w:sz w:val="44"/>
                <w:szCs w:val="44"/>
              </w:rPr>
            </w:pPr>
          </w:p>
        </w:tc>
        <w:tc>
          <w:tcPr>
            <w:tcW w:w="4652" w:type="dxa"/>
          </w:tcPr>
          <w:p w14:paraId="4EF9A0A1" w14:textId="77777777" w:rsidR="0075749D" w:rsidRDefault="005C77D1">
            <w:pPr>
              <w:spacing w:line="240" w:lineRule="auto"/>
              <w:rPr>
                <w:color w:val="FFFFFF"/>
                <w:sz w:val="34"/>
                <w:szCs w:val="34"/>
              </w:rPr>
            </w:pPr>
            <w:r>
              <w:rPr>
                <w:color w:val="FFFFFF"/>
                <w:sz w:val="34"/>
                <w:szCs w:val="34"/>
              </w:rPr>
              <w:t>{{Sig_es</w:t>
            </w:r>
            <w:proofErr w:type="gramStart"/>
            <w:r>
              <w:rPr>
                <w:color w:val="FFFFFF"/>
                <w:sz w:val="34"/>
                <w:szCs w:val="34"/>
              </w:rPr>
              <w:t>_:signer</w:t>
            </w:r>
            <w:proofErr w:type="gramEnd"/>
            <w:r>
              <w:rPr>
                <w:color w:val="FFFFFF"/>
                <w:sz w:val="34"/>
                <w:szCs w:val="34"/>
              </w:rPr>
              <w:t>2:signature}}</w:t>
            </w:r>
          </w:p>
        </w:tc>
      </w:tr>
      <w:tr w:rsidR="0075749D" w14:paraId="5A79C2D6" w14:textId="77777777">
        <w:trPr>
          <w:trHeight w:val="237"/>
        </w:trPr>
        <w:tc>
          <w:tcPr>
            <w:tcW w:w="4652" w:type="dxa"/>
          </w:tcPr>
          <w:p w14:paraId="24B1186F" w14:textId="77777777" w:rsidR="0075749D" w:rsidRDefault="0075749D">
            <w:pPr>
              <w:spacing w:line="240" w:lineRule="auto"/>
              <w:rPr>
                <w:sz w:val="22"/>
                <w:szCs w:val="22"/>
              </w:rPr>
            </w:pPr>
          </w:p>
          <w:p w14:paraId="3903324A" w14:textId="77777777" w:rsidR="0075749D" w:rsidRDefault="005C77D1">
            <w:pPr>
              <w:spacing w:line="240" w:lineRule="auto"/>
              <w:rPr>
                <w:sz w:val="22"/>
                <w:szCs w:val="22"/>
              </w:rPr>
            </w:pPr>
            <w:r>
              <w:rPr>
                <w:sz w:val="22"/>
                <w:szCs w:val="22"/>
              </w:rPr>
              <w:t>*|Member 1|*</w:t>
            </w:r>
          </w:p>
        </w:tc>
        <w:tc>
          <w:tcPr>
            <w:tcW w:w="222" w:type="dxa"/>
          </w:tcPr>
          <w:p w14:paraId="4AAD242A" w14:textId="77777777" w:rsidR="0075749D" w:rsidRDefault="0075749D">
            <w:pPr>
              <w:spacing w:line="240" w:lineRule="auto"/>
              <w:rPr>
                <w:sz w:val="22"/>
                <w:szCs w:val="22"/>
              </w:rPr>
            </w:pPr>
          </w:p>
        </w:tc>
        <w:tc>
          <w:tcPr>
            <w:tcW w:w="4652" w:type="dxa"/>
          </w:tcPr>
          <w:p w14:paraId="6F512C95" w14:textId="77777777" w:rsidR="0075749D" w:rsidRDefault="0075749D">
            <w:pPr>
              <w:spacing w:line="240" w:lineRule="auto"/>
              <w:rPr>
                <w:sz w:val="22"/>
                <w:szCs w:val="22"/>
              </w:rPr>
            </w:pPr>
          </w:p>
          <w:p w14:paraId="18283B5B" w14:textId="77777777" w:rsidR="0075749D" w:rsidRDefault="005C77D1">
            <w:pPr>
              <w:spacing w:line="240" w:lineRule="auto"/>
              <w:rPr>
                <w:sz w:val="22"/>
                <w:szCs w:val="22"/>
              </w:rPr>
            </w:pPr>
            <w:r>
              <w:rPr>
                <w:sz w:val="22"/>
                <w:szCs w:val="22"/>
              </w:rPr>
              <w:t>*|Member 2|*</w:t>
            </w:r>
          </w:p>
        </w:tc>
      </w:tr>
      <w:tr w:rsidR="0075749D" w14:paraId="5B3A6943" w14:textId="77777777">
        <w:tc>
          <w:tcPr>
            <w:tcW w:w="4652" w:type="dxa"/>
          </w:tcPr>
          <w:p w14:paraId="0C346F1A" w14:textId="77777777" w:rsidR="0075749D" w:rsidRDefault="0075749D">
            <w:pPr>
              <w:spacing w:line="240" w:lineRule="auto"/>
              <w:rPr>
                <w:sz w:val="22"/>
                <w:szCs w:val="22"/>
              </w:rPr>
            </w:pPr>
          </w:p>
        </w:tc>
        <w:tc>
          <w:tcPr>
            <w:tcW w:w="222" w:type="dxa"/>
          </w:tcPr>
          <w:p w14:paraId="5296E660" w14:textId="77777777" w:rsidR="0075749D" w:rsidRDefault="0075749D">
            <w:pPr>
              <w:spacing w:line="240" w:lineRule="auto"/>
              <w:rPr>
                <w:sz w:val="22"/>
                <w:szCs w:val="22"/>
              </w:rPr>
            </w:pPr>
          </w:p>
        </w:tc>
        <w:tc>
          <w:tcPr>
            <w:tcW w:w="4652" w:type="dxa"/>
          </w:tcPr>
          <w:p w14:paraId="0210D7FB" w14:textId="77777777" w:rsidR="0075749D" w:rsidRDefault="0075749D">
            <w:pPr>
              <w:spacing w:line="240" w:lineRule="auto"/>
              <w:rPr>
                <w:sz w:val="22"/>
                <w:szCs w:val="22"/>
              </w:rPr>
            </w:pPr>
          </w:p>
        </w:tc>
      </w:tr>
    </w:tbl>
    <w:p w14:paraId="6AE50834" w14:textId="77777777" w:rsidR="0075749D" w:rsidRDefault="0075749D">
      <w:pPr>
        <w:widowControl w:val="0"/>
        <w:spacing w:line="240" w:lineRule="auto"/>
        <w:rPr>
          <w:rFonts w:ascii="Calibri" w:eastAsia="Calibri" w:hAnsi="Calibri" w:cs="Calibri"/>
          <w:sz w:val="24"/>
          <w:szCs w:val="24"/>
        </w:rPr>
      </w:pPr>
    </w:p>
    <w:p w14:paraId="6F78B410" w14:textId="77777777" w:rsidR="0075749D" w:rsidRDefault="005C77D1">
      <w:pPr>
        <w:widowControl w:val="0"/>
        <w:spacing w:line="240" w:lineRule="auto"/>
        <w:rPr>
          <w:color w:val="FFFFFF"/>
          <w:sz w:val="24"/>
          <w:szCs w:val="24"/>
        </w:rPr>
      </w:pPr>
      <w:r>
        <w:rPr>
          <w:rFonts w:ascii="Calibri" w:eastAsia="Calibri" w:hAnsi="Calibri" w:cs="Calibri"/>
          <w:sz w:val="24"/>
          <w:szCs w:val="24"/>
        </w:rPr>
        <w:t>D</w:t>
      </w:r>
      <w:r>
        <w:t xml:space="preserve">ate: </w:t>
      </w:r>
      <w:r>
        <w:rPr>
          <w:b/>
          <w:color w:val="FFFFFF"/>
        </w:rPr>
        <w:t>{{Dte_es</w:t>
      </w:r>
      <w:proofErr w:type="gramStart"/>
      <w:r>
        <w:rPr>
          <w:b/>
          <w:color w:val="FFFFFF"/>
        </w:rPr>
        <w:t>_:signer</w:t>
      </w:r>
      <w:proofErr w:type="gramEnd"/>
      <w:r>
        <w:rPr>
          <w:b/>
          <w:color w:val="FFFFFF"/>
        </w:rPr>
        <w:t>1:date}}</w:t>
      </w:r>
    </w:p>
    <w:p w14:paraId="04A0CFB7" w14:textId="77777777" w:rsidR="0075749D" w:rsidRDefault="0075749D"/>
    <w:sectPr w:rsidR="007574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D207E"/>
    <w:multiLevelType w:val="multilevel"/>
    <w:tmpl w:val="572ED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B50459"/>
    <w:multiLevelType w:val="multilevel"/>
    <w:tmpl w:val="D0782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E0618E"/>
    <w:multiLevelType w:val="multilevel"/>
    <w:tmpl w:val="BA40C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561BF4"/>
    <w:multiLevelType w:val="multilevel"/>
    <w:tmpl w:val="372AA1FC"/>
    <w:lvl w:ilvl="0">
      <w:start w:val="1"/>
      <w:numFmt w:val="decimal"/>
      <w:lvlText w:val="%1."/>
      <w:lvlJc w:val="left"/>
      <w:pPr>
        <w:ind w:left="720" w:hanging="360"/>
      </w:pPr>
      <w:rPr>
        <w:rFonts w:ascii="Arial" w:eastAsia="Arial" w:hAnsi="Arial" w:cs="Arial"/>
        <w:color w:val="666666"/>
        <w:sz w:val="27"/>
        <w:szCs w:val="2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9D"/>
    <w:rsid w:val="0019094A"/>
    <w:rsid w:val="005C77D1"/>
    <w:rsid w:val="007574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6D94"/>
  <w15:docId w15:val="{F7DB20BD-4D79-4356-B28E-1122CA32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1131</Words>
  <Characters>6448</Characters>
  <Application>Microsoft Office Word</Application>
  <DocSecurity>0</DocSecurity>
  <Lines>53</Lines>
  <Paragraphs>15</Paragraphs>
  <ScaleCrop>false</ScaleCrop>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 LA</dc:creator>
  <cp:lastModifiedBy>Anh LA</cp:lastModifiedBy>
  <cp:revision>2</cp:revision>
  <dcterms:created xsi:type="dcterms:W3CDTF">2021-10-20T02:38:00Z</dcterms:created>
  <dcterms:modified xsi:type="dcterms:W3CDTF">2021-10-20T02:38:00Z</dcterms:modified>
</cp:coreProperties>
</file>