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Calibri" w:cs="Calibri" w:eastAsia="Calibri" w:hAnsi="Calibri"/>
          <w:b/>
          <w:bCs/>
          <w:color w:val="1F3864"/>
          <w:sz w:val="40"/>
          <w:szCs w:val="40"/>
        </w:rPr>
        <w:t xml:space="preserve">AccrediAssist</w:t>
      </w:r>
    </w:p>
    <w:p>
      <w:pPr>
        <w:spacing w:before="800"/>
      </w:pPr>
    </w:p>
    <w:p>
      <w:pPr>
        <w:jc w:val="center"/>
      </w:pPr>
      <w:r>
        <w:rPr>
          <w:rFonts w:ascii="Calibri" w:cs="Calibri" w:eastAsia="Calibri" w:hAnsi="Calibri"/>
          <w:b/>
          <w:bCs/>
          <w:sz w:val="32"/>
          <w:szCs w:val="32"/>
        </w:rPr>
        <w:t xml:space="preserve">AccrediAssist Institution</w:t>
      </w:r>
    </w:p>
    <w:p>
      <w:pPr>
        <w:spacing w:after="200"/>
        <w:jc w:val="center"/>
      </w:pPr>
      <w:r>
        <w:rPr>
          <w:rFonts w:ascii="Calibri" w:cs="Calibri" w:eastAsia="Calibri" w:hAnsi="Calibri"/>
          <w:sz w:val="26"/>
          <w:szCs w:val="26"/>
        </w:rPr>
        <w:t xml:space="preserve">All Departments</w:t>
      </w:r>
    </w:p>
    <w:p>
      <w:pPr>
        <w:spacing w:after="400"/>
        <w:jc w:val="center"/>
      </w:pPr>
      <w:r>
        <w:rPr>
          <w:rFonts w:ascii="Calibri" w:cs="Calibri" w:eastAsia="Calibri" w:hAnsi="Calibri"/>
          <w:b/>
          <w:bCs/>
          <w:color w:val="1F3864"/>
          <w:sz w:val="30"/>
          <w:szCs w:val="30"/>
        </w:rPr>
        <w:t xml:space="preserve">Placement Report (2025-2026)</w:t>
      </w:r>
    </w:p>
    <w:p>
      <w:pPr>
        <w:jc w:val="center"/>
      </w:pPr>
      <w:r>
        <w:rPr>
          <w:rFonts w:ascii="Calibri" w:cs="Calibri" w:eastAsia="Calibri" w:hAnsi="Calibri"/>
          <w:sz w:val="24"/>
          <w:szCs w:val="24"/>
        </w:rPr>
        <w:t xml:space="preserve">Academic Year: 2025-2026</w:t>
      </w:r>
    </w:p>
    <w:p>
      <w:pPr>
        <w:spacing w:after="600"/>
        <w:jc w:val="center"/>
      </w:pPr>
      <w:r>
        <w:rPr>
          <w:rFonts w:ascii="Calibri" w:cs="Calibri" w:eastAsia="Calibri" w:hAnsi="Calibri"/>
          <w:color w:val="666666"/>
          <w:sz w:val="22"/>
          <w:szCs w:val="22"/>
        </w:rPr>
        <w:t xml:space="preserve">Generated: 30 July 2026</w:t>
      </w:r>
    </w:p>
    <w:p>
      <w:r>
        <w:br w:type="page"/>
      </w:r>
    </w:p>
    <w:p>
      <w:pPr>
        <w:pStyle w:val="Heading1"/>
      </w:pPr>
      <w:r>
        <w:rPr>
          <w:rFonts w:ascii="Calibri" w:cs="Calibri" w:eastAsia="Calibri" w:hAnsi="Calibri"/>
          <w:b/>
          <w:bCs/>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Calibri" w:cs="Calibri" w:eastAsia="Calibri" w:hAnsi="Calibri"/>
          <w:b/>
          <w:bCs/>
          <w:sz w:val="28"/>
          <w:szCs w:val="28"/>
        </w:rPr>
        <w:t xml:space="preserve">Executive Summary</w:t>
      </w:r>
    </w:p>
    <w:p>
      <w:pPr>
        <w:spacing w:after="120" w:line="276"/>
      </w:pPr>
      <w:r>
        <w:rPr>
          <w:rFonts w:ascii="Calibri" w:cs="Calibri" w:eastAsia="Calibri" w:hAnsi="Calibri"/>
          <w:sz w:val="22"/>
          <w:szCs w:val="22"/>
        </w:rPr>
        <w:t xml:space="preserve">The institutional placement report for the 2025-2026 academic period indicates the initiation of placement activities with a total of one recorded placement. This figure represents a 100% growth compared to the previous reporting period, during which no placement records were documented. The data reflects a singular placement event occurring in June 2025 within the Computer Engineering department. The placement was secured with the organization TCS. As this represents the initial data point for the current academic cycle, it serves as a baseline for future institutional placement tracking and analysis. The reporting period, spanning from June 1, 2025, to May 31, 2026, confirms that placement operations are active, with the Computer Engineering department currently accounting for the entirety of the institutional placement output.</w:t>
      </w:r>
    </w:p>
    <w:p>
      <w:pPr>
        <w:pStyle w:val="Heading1"/>
      </w:pPr>
      <w:r>
        <w:rPr>
          <w:rFonts w:ascii="Calibri" w:cs="Calibri" w:eastAsia="Calibri" w:hAnsi="Calibri"/>
          <w:b/>
          <w:bCs/>
          <w:sz w:val="28"/>
          <w:szCs w:val="28"/>
        </w:rPr>
        <w:t xml:space="preserve">Key Highlights</w:t>
      </w:r>
    </w:p>
    <w:p>
      <w:pPr>
        <w:pStyle w:val="ListParagraph"/>
        <w:numPr>
          <w:ilvl w:val="0"/>
          <w:numId w:val="1"/>
        </w:numPr>
        <w:spacing w:after="80"/>
      </w:pPr>
      <w:r>
        <w:rPr>
          <w:rFonts w:ascii="Calibri" w:cs="Calibri" w:eastAsia="Calibri" w:hAnsi="Calibri"/>
          <w:sz w:val="22"/>
          <w:szCs w:val="22"/>
        </w:rPr>
        <w:t xml:space="preserve">Total placement records: 1</w:t>
      </w:r>
    </w:p>
    <w:p>
      <w:pPr>
        <w:pStyle w:val="ListParagraph"/>
        <w:numPr>
          <w:ilvl w:val="0"/>
          <w:numId w:val="1"/>
        </w:numPr>
        <w:spacing w:after="80"/>
      </w:pPr>
      <w:r>
        <w:rPr>
          <w:rFonts w:ascii="Calibri" w:cs="Calibri" w:eastAsia="Calibri" w:hAnsi="Calibri"/>
          <w:sz w:val="22"/>
          <w:szCs w:val="22"/>
        </w:rPr>
        <w:t xml:space="preserve">Period-over-period growth: 100%</w:t>
      </w:r>
    </w:p>
    <w:p>
      <w:pPr>
        <w:pStyle w:val="ListParagraph"/>
        <w:numPr>
          <w:ilvl w:val="0"/>
          <w:numId w:val="1"/>
        </w:numPr>
        <w:spacing w:after="80"/>
      </w:pPr>
      <w:r>
        <w:rPr>
          <w:rFonts w:ascii="Calibri" w:cs="Calibri" w:eastAsia="Calibri" w:hAnsi="Calibri"/>
          <w:sz w:val="22"/>
          <w:szCs w:val="22"/>
        </w:rPr>
        <w:t xml:space="preserve">Primary department: Computer Engineering</w:t>
      </w:r>
    </w:p>
    <w:p>
      <w:pPr>
        <w:pStyle w:val="ListParagraph"/>
        <w:numPr>
          <w:ilvl w:val="0"/>
          <w:numId w:val="1"/>
        </w:numPr>
        <w:spacing w:after="80"/>
      </w:pPr>
      <w:r>
        <w:rPr>
          <w:rFonts w:ascii="Calibri" w:cs="Calibri" w:eastAsia="Calibri" w:hAnsi="Calibri"/>
          <w:sz w:val="22"/>
          <w:szCs w:val="22"/>
        </w:rPr>
        <w:t xml:space="preserve">Primary employer: TCS</w:t>
      </w:r>
    </w:p>
    <w:p>
      <w:pPr>
        <w:pStyle w:val="ListParagraph"/>
        <w:numPr>
          <w:ilvl w:val="0"/>
          <w:numId w:val="1"/>
        </w:numPr>
        <w:spacing w:after="80"/>
      </w:pPr>
      <w:r>
        <w:rPr>
          <w:rFonts w:ascii="Calibri" w:cs="Calibri" w:eastAsia="Calibri" w:hAnsi="Calibri"/>
          <w:sz w:val="22"/>
          <w:szCs w:val="22"/>
        </w:rPr>
        <w:t xml:space="preserve">Peak activity month: June 2025</w:t>
      </w:r>
    </w:p>
    <w:p>
      <w:pPr>
        <w:pStyle w:val="ListParagraph"/>
        <w:numPr>
          <w:ilvl w:val="0"/>
          <w:numId w:val="1"/>
        </w:numPr>
        <w:spacing w:after="80"/>
      </w:pPr>
      <w:r>
        <w:rPr>
          <w:rFonts w:ascii="Calibri" w:cs="Calibri" w:eastAsia="Calibri" w:hAnsi="Calibri"/>
          <w:sz w:val="22"/>
          <w:szCs w:val="22"/>
        </w:rPr>
        <w:t xml:space="preserve">Top performer: docx-report-test-Rahul</w:t>
      </w:r>
    </w:p>
    <w:p>
      <w:pPr>
        <w:pStyle w:val="Heading1"/>
      </w:pPr>
      <w:r>
        <w:rPr>
          <w:rFonts w:ascii="Calibri" w:cs="Calibri" w:eastAsia="Calibri" w:hAnsi="Calibri"/>
          <w:b/>
          <w:bCs/>
          <w:sz w:val="28"/>
          <w:szCs w:val="28"/>
        </w:rPr>
        <w:t xml:space="preserve">Statistics</w:t>
      </w:r>
    </w:p>
    <w:p>
      <w:pPr>
        <w:spacing w:after="120" w:line="276"/>
      </w:pPr>
      <w:r>
        <w:rPr>
          <w:rFonts w:ascii="Calibri" w:cs="Calibri" w:eastAsia="Calibri" w:hAnsi="Calibri"/>
          <w:sz w:val="22"/>
          <w:szCs w:val="22"/>
        </w:rPr>
        <w:t xml:space="preserve">Overall institutional records: 1. Report category: Placement Report.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Module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Total Records</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Growth (%)</w:t>
            </w:r>
          </w:p>
        </w:tc>
      </w:tr>
      <w:tr>
        <w:tc>
          <w:tcPr>
            <w:tcMar>
              <w:top w:type="dxa" w:w="80"/>
              <w:left w:type="dxa" w:w="120"/>
              <w:bottom w:type="dxa" w:w="80"/>
              <w:right w:type="dxa" w:w="120"/>
            </w:tcMar>
          </w:tcPr>
          <w:p>
            <w:r>
              <w:rPr>
                <w:rFonts w:ascii="Calibri" w:cs="Calibri" w:eastAsia="Calibri" w:hAnsi="Calibri"/>
                <w:sz w:val="20"/>
                <w:szCs w:val="20"/>
              </w:rPr>
              <w:t xml:space="preserve">Placements</w:t>
            </w:r>
          </w:p>
        </w:tc>
        <w:tc>
          <w:tcPr>
            <w:tcMar>
              <w:top w:type="dxa" w:w="80"/>
              <w:left w:type="dxa" w:w="120"/>
              <w:bottom w:type="dxa" w:w="80"/>
              <w:right w:type="dxa" w:w="120"/>
            </w:tcMar>
          </w:tcPr>
          <w:p>
            <w:r>
              <w:rPr>
                <w:rFonts w:ascii="Calibri" w:cs="Calibri" w:eastAsia="Calibri" w:hAnsi="Calibri"/>
                <w:sz w:val="20"/>
                <w:szCs w:val="20"/>
              </w:rPr>
              <w:t xml:space="preserve">1</w:t>
            </w:r>
          </w:p>
        </w:tc>
        <w:tc>
          <w:tcPr>
            <w:tcMar>
              <w:top w:type="dxa" w:w="80"/>
              <w:left w:type="dxa" w:w="120"/>
              <w:bottom w:type="dxa" w:w="80"/>
              <w:right w:type="dxa" w:w="120"/>
            </w:tcMar>
          </w:tcPr>
          <w:p>
            <w:r>
              <w:rPr>
                <w:rFonts w:ascii="Calibri" w:cs="Calibri" w:eastAsia="Calibri" w:hAnsi="Calibri"/>
                <w:sz w:val="20"/>
                <w:szCs w:val="20"/>
              </w:rPr>
              <w:t xml:space="preserve">100</w:t>
            </w:r>
          </w:p>
        </w:tc>
      </w:tr>
    </w:tbl>
    <w:p>
      <w:pPr>
        <w:pStyle w:val="Heading1"/>
      </w:pPr>
      <w:r>
        <w:rPr>
          <w:rFonts w:ascii="Calibri" w:cs="Calibri" w:eastAsia="Calibri" w:hAnsi="Calibri"/>
          <w:b/>
          <w:bCs/>
          <w:sz w:val="28"/>
          <w:szCs w:val="28"/>
        </w:rPr>
        <w:t xml:space="preserve">Charts</w:t>
      </w:r>
    </w:p>
    <w:p>
      <w:pPr>
        <w:spacing w:after="120" w:line="276"/>
      </w:pPr>
      <w:r>
        <w:rPr>
          <w:rFonts w:ascii="Calibri" w:cs="Calibri" w:eastAsia="Calibri" w:hAnsi="Calibri"/>
          <w:sz w:val="22"/>
          <w:szCs w:val="22"/>
        </w:rPr>
        <w:t xml:space="preserve">The following tables represent chart datasets embedded for accreditation and management review documentation.</w:t>
      </w:r>
    </w:p>
    <w:p>
      <w:pPr>
        <w:spacing w:after="120" w:before="240"/>
      </w:pPr>
      <w:r>
        <w:rPr>
          <w:rFonts w:ascii="Calibri" w:cs="Calibri" w:eastAsia="Calibri" w:hAnsi="Calibri"/>
          <w:b/>
          <w:bCs/>
          <w:color w:val="1F3864"/>
          <w:sz w:val="24"/>
          <w:szCs w:val="24"/>
        </w:rPr>
        <w:t xml:space="preserve">Monthly Placements</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Placements</w:t>
            </w:r>
          </w:p>
        </w:tc>
      </w:tr>
      <w:tr>
        <w:tc>
          <w:tcPr>
            <w:tcMar>
              <w:top w:type="dxa" w:w="80"/>
              <w:left w:type="dxa" w:w="120"/>
              <w:bottom w:type="dxa" w:w="80"/>
              <w:right w:type="dxa" w:w="120"/>
            </w:tcMar>
          </w:tcPr>
          <w:p>
            <w:r>
              <w:rPr>
                <w:rFonts w:ascii="Calibri" w:cs="Calibri" w:eastAsia="Calibri" w:hAnsi="Calibri"/>
                <w:sz w:val="20"/>
                <w:szCs w:val="20"/>
              </w:rPr>
              <w:t xml:space="preserve">Jun 2025</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Department-wise Distribution</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Records by Department</w:t>
            </w:r>
          </w:p>
        </w:tc>
      </w:tr>
      <w:tr>
        <w:tc>
          <w:tcPr>
            <w:tcMar>
              <w:top w:type="dxa" w:w="80"/>
              <w:left w:type="dxa" w:w="120"/>
              <w:bottom w:type="dxa" w:w="80"/>
              <w:right w:type="dxa" w:w="120"/>
            </w:tcMar>
          </w:tcPr>
          <w:p>
            <w:r>
              <w:rPr>
                <w:rFonts w:ascii="Calibri" w:cs="Calibri" w:eastAsia="Calibri" w:hAnsi="Calibri"/>
                <w:sz w:val="20"/>
                <w:szCs w:val="20"/>
              </w:rPr>
              <w:t xml:space="preserve">Computer Engineering</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Category-wise Distribution</w:t>
      </w:r>
    </w:p>
    <w:p>
      <w:pPr>
        <w:spacing w:after="120" w:line="276"/>
      </w:pPr>
      <w:r>
        <w:rPr>
          <w:rFonts w:ascii="Calibri" w:cs="Calibri" w:eastAsia="Calibri" w:hAnsi="Calibri"/>
          <w:sz w:val="22"/>
          <w:szCs w:val="22"/>
        </w:rPr>
        <w:t xml:space="preserve">Chart type: DOUGHNUT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Records by Category</w:t>
            </w:r>
          </w:p>
        </w:tc>
      </w:tr>
      <w:tr>
        <w:tc>
          <w:tcPr>
            <w:tcMar>
              <w:top w:type="dxa" w:w="80"/>
              <w:left w:type="dxa" w:w="120"/>
              <w:bottom w:type="dxa" w:w="80"/>
              <w:right w:type="dxa" w:w="120"/>
            </w:tcMar>
          </w:tcPr>
          <w:p>
            <w:r>
              <w:rPr>
                <w:rFonts w:ascii="Calibri" w:cs="Calibri" w:eastAsia="Calibri" w:hAnsi="Calibri"/>
                <w:sz w:val="20"/>
                <w:szCs w:val="20"/>
              </w:rPr>
              <w:t xml:space="preserve">TCS</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Yearly Growth Analysis</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Growth (%)</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Yearly Total</w:t>
            </w:r>
          </w:p>
        </w:tc>
      </w:tr>
      <w:tr>
        <w:tc>
          <w:tcPr>
            <w:tcMar>
              <w:top w:type="dxa" w:w="80"/>
              <w:left w:type="dxa" w:w="120"/>
              <w:bottom w:type="dxa" w:w="80"/>
              <w:right w:type="dxa" w:w="120"/>
            </w:tcMar>
          </w:tcPr>
          <w:p>
            <w:r>
              <w:rPr>
                <w:rFonts w:ascii="Calibri" w:cs="Calibri" w:eastAsia="Calibri" w:hAnsi="Calibri"/>
                <w:sz w:val="20"/>
                <w:szCs w:val="20"/>
              </w:rPr>
              <w:t xml:space="preserve">Placements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pStyle w:val="Heading1"/>
      </w:pPr>
      <w:r>
        <w:rPr>
          <w:rFonts w:ascii="Calibri" w:cs="Calibri" w:eastAsia="Calibri" w:hAnsi="Calibri"/>
          <w:b/>
          <w:bCs/>
          <w:sz w:val="28"/>
          <w:szCs w:val="28"/>
        </w:rPr>
        <w:t xml:space="preserve">Detailed Tables</w:t>
      </w:r>
    </w:p>
    <w:p>
      <w:pPr>
        <w:spacing w:after="120" w:before="240"/>
      </w:pPr>
      <w:r>
        <w:rPr>
          <w:rFonts w:ascii="Calibri" w:cs="Calibri" w:eastAsia="Calibri" w:hAnsi="Calibri"/>
          <w:b/>
          <w:bCs/>
          <w:color w:val="1F3864"/>
          <w:sz w:val="24"/>
          <w:szCs w:val="24"/>
        </w:rPr>
        <w:t xml:space="preserve">Placements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_id</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studentName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department</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company</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role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joiningDate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createdAt</w:t>
            </w:r>
          </w:p>
        </w:tc>
      </w:tr>
      <w:tr>
        <w:tc>
          <w:tcPr>
            <w:tcMar>
              <w:top w:type="dxa" w:w="80"/>
              <w:left w:type="dxa" w:w="120"/>
              <w:bottom w:type="dxa" w:w="80"/>
              <w:right w:type="dxa" w:w="120"/>
            </w:tcMar>
          </w:tcPr>
          <w:p>
            <w:r>
              <w:rPr>
                <w:rFonts w:ascii="Calibri" w:cs="Calibri" w:eastAsia="Calibri" w:hAnsi="Calibri"/>
                <w:sz w:val="20"/>
                <w:szCs w:val="20"/>
              </w:rPr>
              <w:t xml:space="preserve">6a6afe6f9119a3b5800a5d85</w:t>
            </w:r>
          </w:p>
        </w:tc>
        <w:tc>
          <w:tcPr>
            <w:tcMar>
              <w:top w:type="dxa" w:w="80"/>
              <w:left w:type="dxa" w:w="120"/>
              <w:bottom w:type="dxa" w:w="80"/>
              <w:right w:type="dxa" w:w="120"/>
            </w:tcMar>
          </w:tcPr>
          <w:p>
            <w:r>
              <w:rPr>
                <w:rFonts w:ascii="Calibri" w:cs="Calibri" w:eastAsia="Calibri" w:hAnsi="Calibri"/>
                <w:sz w:val="20"/>
                <w:szCs w:val="20"/>
              </w:rPr>
              <w:t xml:space="preserve">docx-report-test-Rahul</w:t>
            </w:r>
          </w:p>
        </w:tc>
        <w:tc>
          <w:tcPr>
            <w:tcMar>
              <w:top w:type="dxa" w:w="80"/>
              <w:left w:type="dxa" w:w="120"/>
              <w:bottom w:type="dxa" w:w="80"/>
              <w:right w:type="dxa" w:w="120"/>
            </w:tcMar>
          </w:tcPr>
          <w:p>
            <w:r>
              <w:rPr>
                <w:rFonts w:ascii="Calibri" w:cs="Calibri" w:eastAsia="Calibri" w:hAnsi="Calibri"/>
                <w:sz w:val="20"/>
                <w:szCs w:val="20"/>
              </w:rPr>
              <w:t xml:space="preserve">Computer Engineering</w:t>
            </w:r>
          </w:p>
        </w:tc>
        <w:tc>
          <w:tcPr>
            <w:tcMar>
              <w:top w:type="dxa" w:w="80"/>
              <w:left w:type="dxa" w:w="120"/>
              <w:bottom w:type="dxa" w:w="80"/>
              <w:right w:type="dxa" w:w="120"/>
            </w:tcMar>
          </w:tcPr>
          <w:p>
            <w:r>
              <w:rPr>
                <w:rFonts w:ascii="Calibri" w:cs="Calibri" w:eastAsia="Calibri" w:hAnsi="Calibri"/>
                <w:sz w:val="20"/>
                <w:szCs w:val="20"/>
              </w:rPr>
              <w:t xml:space="preserve">TCS</w:t>
            </w:r>
          </w:p>
        </w:tc>
        <w:tc>
          <w:tcPr>
            <w:tcMar>
              <w:top w:type="dxa" w:w="80"/>
              <w:left w:type="dxa" w:w="120"/>
              <w:bottom w:type="dxa" w:w="80"/>
              <w:right w:type="dxa" w:w="120"/>
            </w:tcMar>
          </w:tcPr>
          <w:p>
            <w:r>
              <w:rPr>
                <w:rFonts w:ascii="Calibri" w:cs="Calibri" w:eastAsia="Calibri" w:hAnsi="Calibri"/>
                <w:sz w:val="20"/>
                <w:szCs w:val="20"/>
              </w:rPr>
              <w:t xml:space="preserve">Software Engineer</w:t>
            </w:r>
          </w:p>
        </w:tc>
        <w:tc>
          <w:tcPr>
            <w:tcMar>
              <w:top w:type="dxa" w:w="80"/>
              <w:left w:type="dxa" w:w="120"/>
              <w:bottom w:type="dxa" w:w="80"/>
              <w:right w:type="dxa" w:w="120"/>
            </w:tcMar>
          </w:tcPr>
          <w:p>
            <w:r>
              <w:rPr>
                <w:rFonts w:ascii="Calibri" w:cs="Calibri" w:eastAsia="Calibri" w:hAnsi="Calibri"/>
                <w:sz w:val="20"/>
                <w:szCs w:val="20"/>
              </w:rPr>
              <w:t xml:space="preserve">2025-06-01</w:t>
            </w:r>
          </w:p>
        </w:tc>
        <w:tc>
          <w:tcPr>
            <w:tcMar>
              <w:top w:type="dxa" w:w="80"/>
              <w:left w:type="dxa" w:w="120"/>
              <w:bottom w:type="dxa" w:w="80"/>
              <w:right w:type="dxa" w:w="120"/>
            </w:tcMar>
          </w:tcPr>
          <w:p>
            <w:r>
              <w:rPr>
                <w:rFonts w:ascii="Calibri" w:cs="Calibri" w:eastAsia="Calibri" w:hAnsi="Calibri"/>
                <w:sz w:val="20"/>
                <w:szCs w:val="20"/>
              </w:rPr>
              <w:t xml:space="preserve">2026-07-30</w:t>
            </w:r>
          </w:p>
        </w:tc>
      </w:tr>
    </w:tbl>
    <w:p>
      <w:pPr>
        <w:pStyle w:val="Heading1"/>
      </w:pPr>
      <w:r>
        <w:rPr>
          <w:rFonts w:ascii="Calibri" w:cs="Calibri" w:eastAsia="Calibri" w:hAnsi="Calibri"/>
          <w:b/>
          <w:bCs/>
          <w:sz w:val="28"/>
          <w:szCs w:val="28"/>
        </w:rPr>
        <w:t xml:space="preserve">Event Images</w:t>
      </w:r>
    </w:p>
    <w:p>
      <w:pPr>
        <w:spacing w:after="120" w:line="276"/>
      </w:pPr>
      <w:r>
        <w:rPr>
          <w:rFonts w:ascii="Calibri" w:cs="Calibri" w:eastAsia="Calibri" w:hAnsi="Calibri"/>
          <w:sz w:val="22"/>
          <w:szCs w:val="22"/>
        </w:rPr>
        <w:t xml:space="preserve">No event photographs were available for the selected report scope.</w:t>
      </w:r>
    </w:p>
    <w:p>
      <w:pPr>
        <w:pStyle w:val="Heading1"/>
      </w:pPr>
      <w:r>
        <w:rPr>
          <w:rFonts w:ascii="Calibri" w:cs="Calibri" w:eastAsia="Calibri" w:hAnsi="Calibri"/>
          <w:b/>
          <w:bCs/>
          <w:sz w:val="28"/>
          <w:szCs w:val="28"/>
        </w:rPr>
        <w:t xml:space="preserve">Recommendations</w:t>
      </w:r>
    </w:p>
    <w:p>
      <w:pPr>
        <w:pStyle w:val="ListParagraph"/>
        <w:numPr>
          <w:ilvl w:val="0"/>
          <w:numId w:val="1"/>
        </w:numPr>
        <w:spacing w:after="80"/>
      </w:pPr>
      <w:r>
        <w:rPr>
          <w:rFonts w:ascii="Calibri" w:cs="Calibri" w:eastAsia="Calibri" w:hAnsi="Calibri"/>
          <w:sz w:val="22"/>
          <w:szCs w:val="22"/>
        </w:rPr>
        <w:t xml:space="preserve">Expand placement outreach efforts to include additional departments beyond Computer Engineering.</w:t>
      </w:r>
    </w:p>
    <w:p>
      <w:pPr>
        <w:pStyle w:val="ListParagraph"/>
        <w:numPr>
          <w:ilvl w:val="0"/>
          <w:numId w:val="1"/>
        </w:numPr>
        <w:spacing w:after="80"/>
      </w:pPr>
      <w:r>
        <w:rPr>
          <w:rFonts w:ascii="Calibri" w:cs="Calibri" w:eastAsia="Calibri" w:hAnsi="Calibri"/>
          <w:sz w:val="22"/>
          <w:szCs w:val="22"/>
        </w:rPr>
        <w:t xml:space="preserve">Diversify industry partnerships to increase the number of participating organizations beyond TCS.</w:t>
      </w:r>
    </w:p>
    <w:p>
      <w:pPr>
        <w:pStyle w:val="ListParagraph"/>
        <w:numPr>
          <w:ilvl w:val="0"/>
          <w:numId w:val="1"/>
        </w:numPr>
        <w:spacing w:after="80"/>
      </w:pPr>
      <w:r>
        <w:rPr>
          <w:rFonts w:ascii="Calibri" w:cs="Calibri" w:eastAsia="Calibri" w:hAnsi="Calibri"/>
          <w:sz w:val="22"/>
          <w:szCs w:val="22"/>
        </w:rPr>
        <w:t xml:space="preserve">Implement systematic data collection protocols to ensure comprehensive tracking of all student placements throughout the remainder of the academic year.</w:t>
      </w:r>
    </w:p>
    <w:p>
      <w:r>
        <w:br w:type="page"/>
      </w:r>
    </w:p>
    <w:p>
      <w:pPr>
        <w:pStyle w:val="Heading1"/>
      </w:pPr>
      <w:r>
        <w:rPr>
          <w:rFonts w:ascii="Calibri" w:cs="Calibri" w:eastAsia="Calibri" w:hAnsi="Calibri"/>
          <w:b/>
          <w:bCs/>
          <w:sz w:val="28"/>
          <w:szCs w:val="28"/>
        </w:rPr>
        <w:t xml:space="preserve">Appendix</w:t>
      </w:r>
    </w:p>
    <w:p>
      <w:pPr>
        <w:spacing w:after="120" w:line="276"/>
      </w:pPr>
      <w:r>
        <w:rPr>
          <w:rFonts w:ascii="Calibri" w:cs="Calibri" w:eastAsia="Calibri" w:hAnsi="Calibri"/>
          <w:sz w:val="22"/>
          <w:szCs w:val="22"/>
        </w:rPr>
        <w:t xml:space="preserve">Report Type: Placement Report</w:t>
      </w:r>
    </w:p>
    <w:p>
      <w:pPr>
        <w:spacing w:after="120" w:line="276"/>
      </w:pPr>
      <w:r>
        <w:rPr>
          <w:rFonts w:ascii="Calibri" w:cs="Calibri" w:eastAsia="Calibri" w:hAnsi="Calibri"/>
          <w:sz w:val="22"/>
          <w:szCs w:val="22"/>
        </w:rPr>
        <w:t xml:space="preserve">Generated: 30 July 2026</w:t>
      </w:r>
    </w:p>
    <w:p>
      <w:pPr>
        <w:spacing w:after="120" w:line="276"/>
      </w:pPr>
      <w:r>
        <w:rPr>
          <w:rFonts w:ascii="Calibri" w:cs="Calibri" w:eastAsia="Calibri" w:hAnsi="Calibri"/>
          <w:sz w:val="22"/>
          <w:szCs w:val="22"/>
        </w:rPr>
        <w:t xml:space="preserve">Academic Year: 2025-2026</w:t>
      </w:r>
    </w:p>
    <w:p>
      <w:pPr>
        <w:spacing w:after="120" w:line="276"/>
      </w:pPr>
      <w:r>
        <w:rPr>
          <w:rFonts w:ascii="Calibri" w:cs="Calibri" w:eastAsia="Calibri" w:hAnsi="Calibri"/>
          <w:sz w:val="22"/>
          <w:szCs w:val="22"/>
        </w:rPr>
        <w:t xml:space="preserve">Department: All Departments</w:t>
      </w:r>
    </w:p>
    <w:p>
      <w:pPr>
        <w:spacing w:after="120" w:line="276"/>
      </w:pPr>
      <w:r>
        <w:rPr>
          <w:rFonts w:ascii="Calibri" w:cs="Calibri" w:eastAsia="Calibri" w:hAnsi="Calibri"/>
          <w:sz w:val="22"/>
          <w:szCs w:val="22"/>
        </w:rPr>
        <w:t xml:space="preserve">AI Summary Source: gemini</w:t>
      </w:r>
    </w:p>
    <w:p>
      <w:pPr>
        <w:spacing w:after="120" w:line="276"/>
      </w:pPr>
      <w:r>
        <w:rPr>
          <w:rFonts w:ascii="Calibri" w:cs="Calibri" w:eastAsia="Calibri" w:hAnsi="Calibri"/>
          <w:sz w:val="22"/>
          <w:szCs w:val="22"/>
        </w:rPr>
        <w:t xml:space="preserve">Sections Included: cover, table-of-contents, executive-summary, key-highlights, statistics, charts, detailed-tables, images, recommendations, appendix</w:t>
      </w:r>
    </w:p>
    <w:p>
      <w:pPr>
        <w:spacing w:after="120" w:line="276"/>
      </w:pPr>
      <w:r>
        <w:rPr>
          <w:rFonts w:ascii="Calibri" w:cs="Calibri" w:eastAsia="Calibri" w:hAnsi="Calibri"/>
          <w:sz w:val="22"/>
          <w:szCs w:val="22"/>
        </w:rPr>
        <w:t xml:space="preserve">Section Order Reference: cover → table-of-contents → executive-summary → key-highlights → statistics → charts → detailed-tables → images → recommendations → appendix</w:t>
      </w:r>
    </w:p>
    <w:p>
      <w:pPr>
        <w:spacing w:after="120" w:before="240"/>
      </w:pPr>
      <w:r>
        <w:rPr>
          <w:rFonts w:ascii="Calibri" w:cs="Calibri" w:eastAsia="Calibri" w:hAnsi="Calibri"/>
          <w:b/>
          <w:bCs/>
          <w:color w:val="1F3864"/>
          <w:sz w:val="24"/>
          <w:szCs w:val="24"/>
        </w:rPr>
        <w:t xml:space="preserve">Institutional Strengths</w:t>
      </w:r>
    </w:p>
    <w:p>
      <w:pPr>
        <w:pStyle w:val="ListParagraph"/>
        <w:numPr>
          <w:ilvl w:val="0"/>
          <w:numId w:val="1"/>
        </w:numPr>
        <w:spacing w:after="80"/>
      </w:pPr>
      <w:r>
        <w:rPr>
          <w:rFonts w:ascii="Calibri" w:cs="Calibri" w:eastAsia="Calibri" w:hAnsi="Calibri"/>
          <w:sz w:val="22"/>
          <w:szCs w:val="22"/>
        </w:rPr>
        <w:t xml:space="preserve">Achieved a 100% growth rate in placement records compared to the previous academic year.</w:t>
      </w:r>
    </w:p>
    <w:p>
      <w:pPr>
        <w:pStyle w:val="ListParagraph"/>
        <w:numPr>
          <w:ilvl w:val="0"/>
          <w:numId w:val="1"/>
        </w:numPr>
        <w:spacing w:after="80"/>
      </w:pPr>
      <w:r>
        <w:rPr>
          <w:rFonts w:ascii="Calibri" w:cs="Calibri" w:eastAsia="Calibri" w:hAnsi="Calibri"/>
          <w:sz w:val="22"/>
          <w:szCs w:val="22"/>
        </w:rPr>
        <w:t xml:space="preserve">Successful placement engagement with TCS recorded within the Computer Engineering department.</w:t>
      </w:r>
    </w:p>
    <w:p>
      <w:pPr>
        <w:spacing w:after="120" w:before="240"/>
      </w:pPr>
      <w:r>
        <w:rPr>
          <w:rFonts w:ascii="Calibri" w:cs="Calibri" w:eastAsia="Calibri" w:hAnsi="Calibri"/>
          <w:b/>
          <w:bCs/>
          <w:color w:val="1F3864"/>
          <w:sz w:val="24"/>
          <w:szCs w:val="24"/>
        </w:rPr>
        <w:t xml:space="preserve">Observations</w:t>
      </w:r>
    </w:p>
    <w:p>
      <w:pPr>
        <w:pStyle w:val="ListParagraph"/>
        <w:numPr>
          <w:ilvl w:val="0"/>
          <w:numId w:val="1"/>
        </w:numPr>
        <w:spacing w:after="80"/>
      </w:pPr>
      <w:r>
        <w:rPr>
          <w:rFonts w:ascii="Calibri" w:cs="Calibri" w:eastAsia="Calibri" w:hAnsi="Calibri"/>
          <w:sz w:val="22"/>
          <w:szCs w:val="22"/>
        </w:rPr>
        <w:t xml:space="preserve">A total of one placement record was captured during the 2025-2026 reporting period.</w:t>
      </w:r>
    </w:p>
    <w:p>
      <w:pPr>
        <w:pStyle w:val="ListParagraph"/>
        <w:numPr>
          <w:ilvl w:val="0"/>
          <w:numId w:val="1"/>
        </w:numPr>
        <w:spacing w:after="80"/>
      </w:pPr>
      <w:r>
        <w:rPr>
          <w:rFonts w:ascii="Calibri" w:cs="Calibri" w:eastAsia="Calibri" w:hAnsi="Calibri"/>
          <w:sz w:val="22"/>
          <w:szCs w:val="22"/>
        </w:rPr>
        <w:t xml:space="preserve">Placement activity was concentrated exclusively in the month of June 2025.</w:t>
      </w:r>
    </w:p>
    <w:p>
      <w:pPr>
        <w:pStyle w:val="ListParagraph"/>
        <w:numPr>
          <w:ilvl w:val="0"/>
          <w:numId w:val="1"/>
        </w:numPr>
        <w:spacing w:after="80"/>
      </w:pPr>
      <w:r>
        <w:rPr>
          <w:rFonts w:ascii="Calibri" w:cs="Calibri" w:eastAsia="Calibri" w:hAnsi="Calibri"/>
          <w:sz w:val="22"/>
          <w:szCs w:val="22"/>
        </w:rPr>
        <w:t xml:space="preserve">Computer Engineering is the sole department represented in the current placement data.</w:t>
      </w:r>
    </w:p>
    <w:p>
      <w:pPr>
        <w:pStyle w:val="ListParagraph"/>
        <w:numPr>
          <w:ilvl w:val="0"/>
          <w:numId w:val="1"/>
        </w:numPr>
        <w:spacing w:after="80"/>
      </w:pPr>
      <w:r>
        <w:rPr>
          <w:rFonts w:ascii="Calibri" w:cs="Calibri" w:eastAsia="Calibri" w:hAnsi="Calibri"/>
          <w:sz w:val="22"/>
          <w:szCs w:val="22"/>
        </w:rPr>
        <w:t xml:space="preserve">TCS is the only organization identified in the current placement records.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AccrediAssist | Page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of </w:t>
    </w:r>
    <w:r>
      <w:rPr>
        <w:rFonts w:ascii="Calibri" w:cs="Calibri" w:eastAsia="Calibri" w:hAnsi="Calibri"/>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8"/>
        <w:szCs w:val="18"/>
      </w:rPr>
      <w:t xml:space="preserve">Placement Report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2026-07-30T07:34:22.325Z</dcterms:created>
  <dcterms:modified xsi:type="dcterms:W3CDTF">2026-07-30T07:34:22.325Z</dcterms:modified>
</cp:coreProperties>
</file>

<file path=docProps/custom.xml><?xml version="1.0" encoding="utf-8"?>
<Properties xmlns="http://schemas.openxmlformats.org/officeDocument/2006/custom-properties" xmlns:vt="http://schemas.openxmlformats.org/officeDocument/2006/docPropsVTypes"/>
</file>