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Calibri" w:cs="Calibri" w:eastAsia="Calibri" w:hAnsi="Calibri"/>
          <w:b/>
          <w:bCs/>
          <w:color w:val="1F3864"/>
          <w:sz w:val="40"/>
          <w:szCs w:val="40"/>
        </w:rPr>
        <w:t xml:space="preserve">AccrediAssist</w:t>
      </w:r>
    </w:p>
    <w:p>
      <w:pPr>
        <w:spacing w:before="800"/>
      </w:pPr>
    </w:p>
    <w:p>
      <w:pPr>
        <w:jc w:val="center"/>
      </w:pPr>
      <w:r>
        <w:rPr>
          <w:rFonts w:ascii="Calibri" w:cs="Calibri" w:eastAsia="Calibri" w:hAnsi="Calibri"/>
          <w:b/>
          <w:bCs/>
          <w:sz w:val="32"/>
          <w:szCs w:val="32"/>
        </w:rPr>
        <w:t xml:space="preserve">AccrediAssist Institution</w:t>
      </w:r>
    </w:p>
    <w:p>
      <w:pPr>
        <w:spacing w:after="200"/>
        <w:jc w:val="center"/>
      </w:pPr>
      <w:r>
        <w:rPr>
          <w:rFonts w:ascii="Calibri" w:cs="Calibri" w:eastAsia="Calibri" w:hAnsi="Calibri"/>
          <w:sz w:val="26"/>
          <w:szCs w:val="26"/>
        </w:rPr>
        <w:t xml:space="preserve">All Departments</w:t>
      </w:r>
    </w:p>
    <w:p>
      <w:pPr>
        <w:spacing w:after="400"/>
        <w:jc w:val="center"/>
      </w:pPr>
      <w:r>
        <w:rPr>
          <w:rFonts w:ascii="Calibri" w:cs="Calibri" w:eastAsia="Calibri" w:hAnsi="Calibri"/>
          <w:b/>
          <w:bCs/>
          <w:color w:val="1F3864"/>
          <w:sz w:val="30"/>
          <w:szCs w:val="30"/>
        </w:rPr>
        <w:t xml:space="preserve">Publication Report (2025-2026)</w:t>
      </w:r>
    </w:p>
    <w:p>
      <w:pPr>
        <w:jc w:val="center"/>
      </w:pPr>
      <w:r>
        <w:rPr>
          <w:rFonts w:ascii="Calibri" w:cs="Calibri" w:eastAsia="Calibri" w:hAnsi="Calibri"/>
          <w:sz w:val="24"/>
          <w:szCs w:val="24"/>
        </w:rPr>
        <w:t xml:space="preserve">Academic Year: 2025-2026</w:t>
      </w:r>
    </w:p>
    <w:p>
      <w:pPr>
        <w:spacing w:after="600"/>
        <w:jc w:val="center"/>
      </w:pPr>
      <w:r>
        <w:rPr>
          <w:rFonts w:ascii="Calibri" w:cs="Calibri" w:eastAsia="Calibri" w:hAnsi="Calibri"/>
          <w:color w:val="666666"/>
          <w:sz w:val="22"/>
          <w:szCs w:val="22"/>
        </w:rPr>
        <w:t xml:space="preserve">Generated: 30 July 2026</w:t>
      </w:r>
    </w:p>
    <w:p>
      <w:r>
        <w:br w:type="page"/>
      </w:r>
    </w:p>
    <w:p>
      <w:pPr>
        <w:pStyle w:val="Heading1"/>
      </w:pPr>
      <w:r>
        <w:rPr>
          <w:rFonts w:ascii="Calibri" w:cs="Calibri" w:eastAsia="Calibri" w:hAnsi="Calibri"/>
          <w:b/>
          <w:bCs/>
          <w:sz w:val="28"/>
          <w:szCs w:val="28"/>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Calibri" w:cs="Calibri" w:eastAsia="Calibri" w:hAnsi="Calibri"/>
          <w:b/>
          <w:bCs/>
          <w:sz w:val="28"/>
          <w:szCs w:val="28"/>
        </w:rPr>
        <w:t xml:space="preserve">Executive Summary</w:t>
      </w:r>
    </w:p>
    <w:p>
      <w:pPr>
        <w:spacing w:after="120" w:line="276"/>
      </w:pPr>
      <w:r>
        <w:rPr>
          <w:rFonts w:ascii="Calibri" w:cs="Calibri" w:eastAsia="Calibri" w:hAnsi="Calibri"/>
          <w:sz w:val="22"/>
          <w:szCs w:val="22"/>
        </w:rPr>
        <w:t xml:space="preserve">The Publication Report for the 2025-2026 academic period indicates a complete absence of recorded research publication activity. During the reporting window of June 1, 2025, to May 31, 2026, the institution recorded zero total publication records. This represents a 100 percent decline in research output compared to the previous reporting period, which documented one publication record. The current data set reflects no activity across any academic departments or research categories. Consequently, there are no trends, top-performing faculty, or categorical distributions to analyze for this cycle. This stagnation in publication output necessitates an immediate institutional review of research documentation processes and faculty engagement in scholarly dissemination to ensure accurate reporting and alignment with accreditation standards.</w:t>
      </w:r>
    </w:p>
    <w:p>
      <w:pPr>
        <w:pStyle w:val="Heading1"/>
      </w:pPr>
      <w:r>
        <w:rPr>
          <w:rFonts w:ascii="Calibri" w:cs="Calibri" w:eastAsia="Calibri" w:hAnsi="Calibri"/>
          <w:b/>
          <w:bCs/>
          <w:sz w:val="28"/>
          <w:szCs w:val="28"/>
        </w:rPr>
        <w:t xml:space="preserve">Key Highlights</w:t>
      </w:r>
    </w:p>
    <w:p>
      <w:pPr>
        <w:pStyle w:val="ListParagraph"/>
        <w:numPr>
          <w:ilvl w:val="0"/>
          <w:numId w:val="1"/>
        </w:numPr>
        <w:spacing w:after="80"/>
      </w:pPr>
      <w:r>
        <w:rPr>
          <w:rFonts w:ascii="Calibri" w:cs="Calibri" w:eastAsia="Calibri" w:hAnsi="Calibri"/>
          <w:sz w:val="22"/>
          <w:szCs w:val="22"/>
        </w:rPr>
        <w:t xml:space="preserve">Total records: 0</w:t>
      </w:r>
    </w:p>
    <w:p>
      <w:pPr>
        <w:pStyle w:val="ListParagraph"/>
        <w:numPr>
          <w:ilvl w:val="0"/>
          <w:numId w:val="1"/>
        </w:numPr>
        <w:spacing w:after="80"/>
      </w:pPr>
      <w:r>
        <w:rPr>
          <w:rFonts w:ascii="Calibri" w:cs="Calibri" w:eastAsia="Calibri" w:hAnsi="Calibri"/>
          <w:sz w:val="22"/>
          <w:szCs w:val="22"/>
        </w:rPr>
        <w:t xml:space="preserve">Growth percentage: -100 percent</w:t>
      </w:r>
    </w:p>
    <w:p>
      <w:pPr>
        <w:pStyle w:val="ListParagraph"/>
        <w:numPr>
          <w:ilvl w:val="0"/>
          <w:numId w:val="1"/>
        </w:numPr>
        <w:spacing w:after="80"/>
      </w:pPr>
      <w:r>
        <w:rPr>
          <w:rFonts w:ascii="Calibri" w:cs="Calibri" w:eastAsia="Calibri" w:hAnsi="Calibri"/>
          <w:sz w:val="22"/>
          <w:szCs w:val="22"/>
        </w:rPr>
        <w:t xml:space="preserve">Previous period count: 1</w:t>
      </w:r>
    </w:p>
    <w:p>
      <w:pPr>
        <w:pStyle w:val="ListParagraph"/>
        <w:numPr>
          <w:ilvl w:val="0"/>
          <w:numId w:val="1"/>
        </w:numPr>
        <w:spacing w:after="80"/>
      </w:pPr>
      <w:r>
        <w:rPr>
          <w:rFonts w:ascii="Calibri" w:cs="Calibri" w:eastAsia="Calibri" w:hAnsi="Calibri"/>
          <w:sz w:val="22"/>
          <w:szCs w:val="22"/>
        </w:rPr>
        <w:t xml:space="preserve">Modules analyzed: 1</w:t>
      </w:r>
    </w:p>
    <w:p>
      <w:pPr>
        <w:pStyle w:val="Heading1"/>
      </w:pPr>
      <w:r>
        <w:rPr>
          <w:rFonts w:ascii="Calibri" w:cs="Calibri" w:eastAsia="Calibri" w:hAnsi="Calibri"/>
          <w:b/>
          <w:bCs/>
          <w:sz w:val="28"/>
          <w:szCs w:val="28"/>
        </w:rPr>
        <w:t xml:space="preserve">Statistics</w:t>
      </w:r>
    </w:p>
    <w:p>
      <w:pPr>
        <w:spacing w:after="120" w:line="276"/>
      </w:pPr>
      <w:r>
        <w:rPr>
          <w:rFonts w:ascii="Calibri" w:cs="Calibri" w:eastAsia="Calibri" w:hAnsi="Calibri"/>
          <w:sz w:val="22"/>
          <w:szCs w:val="22"/>
        </w:rPr>
        <w:t xml:space="preserve">Overall institutional records: 0. Report category: Publication Report.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Module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Total Records</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Growth (%)</w:t>
            </w:r>
          </w:p>
        </w:tc>
      </w:tr>
      <w:tr>
        <w:tc>
          <w:tcPr>
            <w:tcMar>
              <w:top w:type="dxa" w:w="80"/>
              <w:left w:type="dxa" w:w="120"/>
              <w:bottom w:type="dxa" w:w="80"/>
              <w:right w:type="dxa" w:w="120"/>
            </w:tcMar>
          </w:tcPr>
          <w:p>
            <w:r>
              <w:rPr>
                <w:rFonts w:ascii="Calibri" w:cs="Calibri" w:eastAsia="Calibri" w:hAnsi="Calibri"/>
                <w:sz w:val="20"/>
                <w:szCs w:val="20"/>
              </w:rPr>
              <w:t xml:space="preserve">Publications</w:t>
            </w:r>
          </w:p>
        </w:tc>
        <w:tc>
          <w:tcPr>
            <w:tcMar>
              <w:top w:type="dxa" w:w="80"/>
              <w:left w:type="dxa" w:w="120"/>
              <w:bottom w:type="dxa" w:w="80"/>
              <w:right w:type="dxa" w:w="120"/>
            </w:tcMar>
          </w:tcPr>
          <w:p>
            <w:r>
              <w:rPr>
                <w:rFonts w:ascii="Calibri" w:cs="Calibri" w:eastAsia="Calibri" w:hAnsi="Calibri"/>
                <w:sz w:val="20"/>
                <w:szCs w:val="20"/>
              </w:rPr>
              <w:t xml:space="preserve">0</w:t>
            </w:r>
          </w:p>
        </w:tc>
        <w:tc>
          <w:tcPr>
            <w:tcMar>
              <w:top w:type="dxa" w:w="80"/>
              <w:left w:type="dxa" w:w="120"/>
              <w:bottom w:type="dxa" w:w="80"/>
              <w:right w:type="dxa" w:w="120"/>
            </w:tcMar>
          </w:tcPr>
          <w:p>
            <w:r>
              <w:rPr>
                <w:rFonts w:ascii="Calibri" w:cs="Calibri" w:eastAsia="Calibri" w:hAnsi="Calibri"/>
                <w:sz w:val="20"/>
                <w:szCs w:val="20"/>
              </w:rPr>
              <w:t xml:space="preserve">-100</w:t>
            </w:r>
          </w:p>
        </w:tc>
      </w:tr>
    </w:tbl>
    <w:p>
      <w:pPr>
        <w:pStyle w:val="Heading1"/>
      </w:pPr>
      <w:r>
        <w:rPr>
          <w:rFonts w:ascii="Calibri" w:cs="Calibri" w:eastAsia="Calibri" w:hAnsi="Calibri"/>
          <w:b/>
          <w:bCs/>
          <w:sz w:val="28"/>
          <w:szCs w:val="28"/>
        </w:rPr>
        <w:t xml:space="preserve">Charts</w:t>
      </w:r>
    </w:p>
    <w:p>
      <w:pPr>
        <w:spacing w:after="120" w:line="276"/>
      </w:pPr>
      <w:r>
        <w:rPr>
          <w:rFonts w:ascii="Calibri" w:cs="Calibri" w:eastAsia="Calibri" w:hAnsi="Calibri"/>
          <w:sz w:val="22"/>
          <w:szCs w:val="22"/>
        </w:rPr>
        <w:t xml:space="preserve">The following tables represent chart datasets embedded for accreditation and management review documentation.</w:t>
      </w:r>
    </w:p>
    <w:p>
      <w:pPr>
        <w:spacing w:after="120" w:before="240"/>
      </w:pPr>
      <w:r>
        <w:rPr>
          <w:rFonts w:ascii="Calibri" w:cs="Calibri" w:eastAsia="Calibri" w:hAnsi="Calibri"/>
          <w:b/>
          <w:bCs/>
          <w:color w:val="1F3864"/>
          <w:sz w:val="24"/>
          <w:szCs w:val="24"/>
        </w:rPr>
        <w:t xml:space="preserve">Publication Trends</w:t>
      </w:r>
    </w:p>
    <w:p>
      <w:pPr>
        <w:spacing w:after="120" w:line="276"/>
      </w:pPr>
      <w:r>
        <w:rPr>
          <w:rFonts w:ascii="Calibri" w:cs="Calibri" w:eastAsia="Calibri" w:hAnsi="Calibri"/>
          <w:sz w:val="22"/>
          <w:szCs w:val="22"/>
        </w:rPr>
        <w:t xml:space="preserve">Chart type: LINE — data sourced from aggregated institutional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Label</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Publications</w:t>
            </w:r>
          </w:p>
        </w:tc>
      </w:tr>
    </w:tbl>
    <w:p>
      <w:pPr>
        <w:spacing w:after="120" w:line="276"/>
      </w:pPr>
      <w:r>
        <w:rPr>
          <w:rFonts w:ascii="Calibri" w:cs="Calibri" w:eastAsia="Calibri" w:hAnsi="Calibri"/>
          <w:sz w:val="22"/>
          <w:szCs w:val="22"/>
        </w:rPr>
        <w:t xml:space="preserve"/>
      </w:r>
    </w:p>
    <w:p>
      <w:pPr>
        <w:spacing w:after="120" w:before="240"/>
      </w:pPr>
      <w:r>
        <w:rPr>
          <w:rFonts w:ascii="Calibri" w:cs="Calibri" w:eastAsia="Calibri" w:hAnsi="Calibri"/>
          <w:b/>
          <w:bCs/>
          <w:color w:val="1F3864"/>
          <w:sz w:val="24"/>
          <w:szCs w:val="24"/>
        </w:rPr>
        <w:t xml:space="preserve">Yearly Growth Analysis</w:t>
      </w:r>
    </w:p>
    <w:p>
      <w:pPr>
        <w:spacing w:after="120" w:line="276"/>
      </w:pPr>
      <w:r>
        <w:rPr>
          <w:rFonts w:ascii="Calibri" w:cs="Calibri" w:eastAsia="Calibri" w:hAnsi="Calibri"/>
          <w:sz w:val="22"/>
          <w:szCs w:val="22"/>
        </w:rPr>
        <w:t xml:space="preserve">Chart type: BAR — data sourced from aggregated institutional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Label</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Growth (%)</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Yearly Total</w:t>
            </w:r>
          </w:p>
        </w:tc>
      </w:tr>
      <w:tr>
        <w:tc>
          <w:tcPr>
            <w:tcMar>
              <w:top w:type="dxa" w:w="80"/>
              <w:left w:type="dxa" w:w="120"/>
              <w:bottom w:type="dxa" w:w="80"/>
              <w:right w:type="dxa" w:w="120"/>
            </w:tcMar>
          </w:tcPr>
          <w:p>
            <w:r>
              <w:rPr>
                <w:rFonts w:ascii="Calibri" w:cs="Calibri" w:eastAsia="Calibri" w:hAnsi="Calibri"/>
                <w:sz w:val="20"/>
                <w:szCs w:val="20"/>
              </w:rPr>
              <w:t xml:space="preserve">Publications</w:t>
            </w:r>
          </w:p>
        </w:tc>
        <w:tc>
          <w:tcPr>
            <w:tcMar>
              <w:top w:type="dxa" w:w="80"/>
              <w:left w:type="dxa" w:w="120"/>
              <w:bottom w:type="dxa" w:w="80"/>
              <w:right w:type="dxa" w:w="120"/>
            </w:tcMar>
          </w:tcPr>
          <w:p>
            <w:r>
              <w:rPr>
                <w:rFonts w:ascii="Calibri" w:cs="Calibri" w:eastAsia="Calibri" w:hAnsi="Calibri"/>
                <w:sz w:val="20"/>
                <w:szCs w:val="20"/>
              </w:rPr>
              <w:t xml:space="preserve">-100</w:t>
            </w:r>
          </w:p>
        </w:tc>
        <w:tc>
          <w:tcPr>
            <w:tcMar>
              <w:top w:type="dxa" w:w="80"/>
              <w:left w:type="dxa" w:w="120"/>
              <w:bottom w:type="dxa" w:w="80"/>
              <w:right w:type="dxa" w:w="120"/>
            </w:tcMar>
          </w:tcPr>
          <w:p>
            <w:r>
              <w:rPr>
                <w:rFonts w:ascii="Calibri" w:cs="Calibri" w:eastAsia="Calibri" w:hAnsi="Calibri"/>
                <w:sz w:val="20"/>
                <w:szCs w:val="20"/>
              </w:rPr>
              <w:t xml:space="preserve">0</w:t>
            </w:r>
          </w:p>
        </w:tc>
      </w:tr>
    </w:tbl>
    <w:p>
      <w:pPr>
        <w:spacing w:after="120" w:line="276"/>
      </w:pPr>
      <w:r>
        <w:rPr>
          <w:rFonts w:ascii="Calibri" w:cs="Calibri" w:eastAsia="Calibri" w:hAnsi="Calibri"/>
          <w:sz w:val="22"/>
          <w:szCs w:val="22"/>
        </w:rPr>
        <w:t xml:space="preserve"/>
      </w:r>
    </w:p>
    <w:p>
      <w:pPr>
        <w:pStyle w:val="Heading1"/>
      </w:pPr>
      <w:r>
        <w:rPr>
          <w:rFonts w:ascii="Calibri" w:cs="Calibri" w:eastAsia="Calibri" w:hAnsi="Calibri"/>
          <w:b/>
          <w:bCs/>
          <w:sz w:val="28"/>
          <w:szCs w:val="28"/>
        </w:rPr>
        <w:t xml:space="preserve">Detailed Tables</w:t>
      </w:r>
    </w:p>
    <w:p>
      <w:pPr>
        <w:pStyle w:val="Heading1"/>
      </w:pPr>
      <w:r>
        <w:rPr>
          <w:rFonts w:ascii="Calibri" w:cs="Calibri" w:eastAsia="Calibri" w:hAnsi="Calibri"/>
          <w:b/>
          <w:bCs/>
          <w:sz w:val="28"/>
          <w:szCs w:val="28"/>
        </w:rPr>
        <w:t xml:space="preserve">Event Images</w:t>
      </w:r>
    </w:p>
    <w:p>
      <w:pPr>
        <w:spacing w:after="120" w:line="276"/>
      </w:pPr>
      <w:r>
        <w:rPr>
          <w:rFonts w:ascii="Calibri" w:cs="Calibri" w:eastAsia="Calibri" w:hAnsi="Calibri"/>
          <w:sz w:val="22"/>
          <w:szCs w:val="22"/>
        </w:rPr>
        <w:t xml:space="preserve">No event photographs were available for the selected report scope.</w:t>
      </w:r>
    </w:p>
    <w:p>
      <w:pPr>
        <w:pStyle w:val="Heading1"/>
      </w:pPr>
      <w:r>
        <w:rPr>
          <w:rFonts w:ascii="Calibri" w:cs="Calibri" w:eastAsia="Calibri" w:hAnsi="Calibri"/>
          <w:b/>
          <w:bCs/>
          <w:sz w:val="28"/>
          <w:szCs w:val="28"/>
        </w:rPr>
        <w:t xml:space="preserve">Recommendations</w:t>
      </w:r>
    </w:p>
    <w:p>
      <w:pPr>
        <w:pStyle w:val="ListParagraph"/>
        <w:numPr>
          <w:ilvl w:val="0"/>
          <w:numId w:val="1"/>
        </w:numPr>
        <w:spacing w:after="80"/>
      </w:pPr>
      <w:r>
        <w:rPr>
          <w:rFonts w:ascii="Calibri" w:cs="Calibri" w:eastAsia="Calibri" w:hAnsi="Calibri"/>
          <w:sz w:val="22"/>
          <w:szCs w:val="22"/>
        </w:rPr>
        <w:t xml:space="preserve">Conduct an audit of the research management system to verify if the zero-record count is due to a lack of activity or a failure in data entry/reporting.</w:t>
      </w:r>
    </w:p>
    <w:p>
      <w:pPr>
        <w:pStyle w:val="ListParagraph"/>
        <w:numPr>
          <w:ilvl w:val="0"/>
          <w:numId w:val="1"/>
        </w:numPr>
        <w:spacing w:after="80"/>
      </w:pPr>
      <w:r>
        <w:rPr>
          <w:rFonts w:ascii="Calibri" w:cs="Calibri" w:eastAsia="Calibri" w:hAnsi="Calibri"/>
          <w:sz w:val="22"/>
          <w:szCs w:val="22"/>
        </w:rPr>
        <w:t xml:space="preserve">Implement a mandatory faculty training program regarding the submission of research outputs to the institutional repository.</w:t>
      </w:r>
    </w:p>
    <w:p>
      <w:pPr>
        <w:pStyle w:val="ListParagraph"/>
        <w:numPr>
          <w:ilvl w:val="0"/>
          <w:numId w:val="1"/>
        </w:numPr>
        <w:spacing w:after="80"/>
      </w:pPr>
      <w:r>
        <w:rPr>
          <w:rFonts w:ascii="Calibri" w:cs="Calibri" w:eastAsia="Calibri" w:hAnsi="Calibri"/>
          <w:sz w:val="22"/>
          <w:szCs w:val="22"/>
        </w:rPr>
        <w:t xml:space="preserve">Establish a centralized monitoring mechanism to track research progress throughout the academic year.</w:t>
      </w:r>
    </w:p>
    <w:p>
      <w:pPr>
        <w:pStyle w:val="ListParagraph"/>
        <w:numPr>
          <w:ilvl w:val="0"/>
          <w:numId w:val="1"/>
        </w:numPr>
        <w:spacing w:after="80"/>
      </w:pPr>
      <w:r>
        <w:rPr>
          <w:rFonts w:ascii="Calibri" w:cs="Calibri" w:eastAsia="Calibri" w:hAnsi="Calibri"/>
          <w:sz w:val="22"/>
          <w:szCs w:val="22"/>
        </w:rPr>
        <w:t xml:space="preserve">Review institutional research policies to identify potential barriers to faculty publication and reporting.</w:t>
      </w:r>
    </w:p>
    <w:p>
      <w:r>
        <w:br w:type="page"/>
      </w:r>
    </w:p>
    <w:p>
      <w:pPr>
        <w:pStyle w:val="Heading1"/>
      </w:pPr>
      <w:r>
        <w:rPr>
          <w:rFonts w:ascii="Calibri" w:cs="Calibri" w:eastAsia="Calibri" w:hAnsi="Calibri"/>
          <w:b/>
          <w:bCs/>
          <w:sz w:val="28"/>
          <w:szCs w:val="28"/>
        </w:rPr>
        <w:t xml:space="preserve">Appendix</w:t>
      </w:r>
    </w:p>
    <w:p>
      <w:pPr>
        <w:spacing w:after="120" w:line="276"/>
      </w:pPr>
      <w:r>
        <w:rPr>
          <w:rFonts w:ascii="Calibri" w:cs="Calibri" w:eastAsia="Calibri" w:hAnsi="Calibri"/>
          <w:sz w:val="22"/>
          <w:szCs w:val="22"/>
        </w:rPr>
        <w:t xml:space="preserve">Report Type: Publication Report</w:t>
      </w:r>
    </w:p>
    <w:p>
      <w:pPr>
        <w:spacing w:after="120" w:line="276"/>
      </w:pPr>
      <w:r>
        <w:rPr>
          <w:rFonts w:ascii="Calibri" w:cs="Calibri" w:eastAsia="Calibri" w:hAnsi="Calibri"/>
          <w:sz w:val="22"/>
          <w:szCs w:val="22"/>
        </w:rPr>
        <w:t xml:space="preserve">Generated: 30 July 2026</w:t>
      </w:r>
    </w:p>
    <w:p>
      <w:pPr>
        <w:spacing w:after="120" w:line="276"/>
      </w:pPr>
      <w:r>
        <w:rPr>
          <w:rFonts w:ascii="Calibri" w:cs="Calibri" w:eastAsia="Calibri" w:hAnsi="Calibri"/>
          <w:sz w:val="22"/>
          <w:szCs w:val="22"/>
        </w:rPr>
        <w:t xml:space="preserve">Academic Year: 2025-2026</w:t>
      </w:r>
    </w:p>
    <w:p>
      <w:pPr>
        <w:spacing w:after="120" w:line="276"/>
      </w:pPr>
      <w:r>
        <w:rPr>
          <w:rFonts w:ascii="Calibri" w:cs="Calibri" w:eastAsia="Calibri" w:hAnsi="Calibri"/>
          <w:sz w:val="22"/>
          <w:szCs w:val="22"/>
        </w:rPr>
        <w:t xml:space="preserve">Department: All Departments</w:t>
      </w:r>
    </w:p>
    <w:p>
      <w:pPr>
        <w:spacing w:after="120" w:line="276"/>
      </w:pPr>
      <w:r>
        <w:rPr>
          <w:rFonts w:ascii="Calibri" w:cs="Calibri" w:eastAsia="Calibri" w:hAnsi="Calibri"/>
          <w:sz w:val="22"/>
          <w:szCs w:val="22"/>
        </w:rPr>
        <w:t xml:space="preserve">AI Summary Source: gemini</w:t>
      </w:r>
    </w:p>
    <w:p>
      <w:pPr>
        <w:spacing w:after="120" w:line="276"/>
      </w:pPr>
      <w:r>
        <w:rPr>
          <w:rFonts w:ascii="Calibri" w:cs="Calibri" w:eastAsia="Calibri" w:hAnsi="Calibri"/>
          <w:sz w:val="22"/>
          <w:szCs w:val="22"/>
        </w:rPr>
        <w:t xml:space="preserve">Sections Included: cover, table-of-contents, executive-summary, key-highlights, statistics, charts, detailed-tables, images, recommendations, appendix</w:t>
      </w:r>
    </w:p>
    <w:p>
      <w:pPr>
        <w:spacing w:after="120" w:line="276"/>
      </w:pPr>
      <w:r>
        <w:rPr>
          <w:rFonts w:ascii="Calibri" w:cs="Calibri" w:eastAsia="Calibri" w:hAnsi="Calibri"/>
          <w:sz w:val="22"/>
          <w:szCs w:val="22"/>
        </w:rPr>
        <w:t xml:space="preserve">Section Order Reference: cover → table-of-contents → executive-summary → key-highlights → statistics → charts → detailed-tables → images → recommendations → appendix</w:t>
      </w:r>
    </w:p>
    <w:p>
      <w:pPr>
        <w:spacing w:after="120" w:before="240"/>
      </w:pPr>
      <w:r>
        <w:rPr>
          <w:rFonts w:ascii="Calibri" w:cs="Calibri" w:eastAsia="Calibri" w:hAnsi="Calibri"/>
          <w:b/>
          <w:bCs/>
          <w:color w:val="1F3864"/>
          <w:sz w:val="24"/>
          <w:szCs w:val="24"/>
        </w:rPr>
        <w:t xml:space="preserve">Institutional Strengths</w:t>
      </w:r>
    </w:p>
    <w:p>
      <w:pPr>
        <w:pStyle w:val="ListParagraph"/>
        <w:numPr>
          <w:ilvl w:val="0"/>
          <w:numId w:val="1"/>
        </w:numPr>
        <w:spacing w:after="80"/>
      </w:pPr>
      <w:r>
        <w:rPr>
          <w:rFonts w:ascii="Calibri" w:cs="Calibri" w:eastAsia="Calibri" w:hAnsi="Calibri"/>
          <w:sz w:val="22"/>
          <w:szCs w:val="22"/>
        </w:rPr>
        <w:t xml:space="preserve">No strengths identified due to the absence of publication records for the 2025-2026 period.</w:t>
      </w:r>
    </w:p>
    <w:p>
      <w:pPr>
        <w:spacing w:after="120" w:before="240"/>
      </w:pPr>
      <w:r>
        <w:rPr>
          <w:rFonts w:ascii="Calibri" w:cs="Calibri" w:eastAsia="Calibri" w:hAnsi="Calibri"/>
          <w:b/>
          <w:bCs/>
          <w:color w:val="1F3864"/>
          <w:sz w:val="24"/>
          <w:szCs w:val="24"/>
        </w:rPr>
        <w:t xml:space="preserve">Observations</w:t>
      </w:r>
    </w:p>
    <w:p>
      <w:pPr>
        <w:pStyle w:val="ListParagraph"/>
        <w:numPr>
          <w:ilvl w:val="0"/>
          <w:numId w:val="1"/>
        </w:numPr>
        <w:spacing w:after="80"/>
      </w:pPr>
      <w:r>
        <w:rPr>
          <w:rFonts w:ascii="Calibri" w:cs="Calibri" w:eastAsia="Calibri" w:hAnsi="Calibri"/>
          <w:sz w:val="22"/>
          <w:szCs w:val="22"/>
        </w:rPr>
        <w:t xml:space="preserve">Total publication records for the 2025-2026 period is zero.</w:t>
      </w:r>
    </w:p>
    <w:p>
      <w:pPr>
        <w:pStyle w:val="ListParagraph"/>
        <w:numPr>
          <w:ilvl w:val="0"/>
          <w:numId w:val="1"/>
        </w:numPr>
        <w:spacing w:after="80"/>
      </w:pPr>
      <w:r>
        <w:rPr>
          <w:rFonts w:ascii="Calibri" w:cs="Calibri" w:eastAsia="Calibri" w:hAnsi="Calibri"/>
          <w:sz w:val="22"/>
          <w:szCs w:val="22"/>
        </w:rPr>
        <w:t xml:space="preserve">The institution experienced a 100 percent decrease in publication output compared to the 2024-2025 period.</w:t>
      </w:r>
    </w:p>
    <w:p>
      <w:pPr>
        <w:pStyle w:val="ListParagraph"/>
        <w:numPr>
          <w:ilvl w:val="0"/>
          <w:numId w:val="1"/>
        </w:numPr>
        <w:spacing w:after="80"/>
      </w:pPr>
      <w:r>
        <w:rPr>
          <w:rFonts w:ascii="Calibri" w:cs="Calibri" w:eastAsia="Calibri" w:hAnsi="Calibri"/>
          <w:sz w:val="22"/>
          <w:szCs w:val="22"/>
        </w:rPr>
        <w:t xml:space="preserve">There is no departmental or categorical breakdown available due to the lack of data.</w:t>
      </w:r>
    </w:p>
    <w:p>
      <w:pPr>
        <w:pStyle w:val="ListParagraph"/>
        <w:numPr>
          <w:ilvl w:val="0"/>
          <w:numId w:val="1"/>
        </w:numPr>
        <w:spacing w:after="80"/>
      </w:pPr>
      <w:r>
        <w:rPr>
          <w:rFonts w:ascii="Calibri" w:cs="Calibri" w:eastAsia="Calibri" w:hAnsi="Calibri"/>
          <w:sz w:val="22"/>
          <w:szCs w:val="22"/>
        </w:rPr>
        <w:t xml:space="preserve">The previous reporting period recorded one publication, indicating a cessation of reported activity.</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8"/>
        <w:szCs w:val="18"/>
      </w:rPr>
      <w:t xml:space="preserve">AccrediAssist | Page </w:t>
    </w:r>
    <w:r>
      <w:rPr>
        <w:rFonts w:ascii="Calibri" w:cs="Calibri" w:eastAsia="Calibri" w:hAnsi="Calibri"/>
        <w:color w:val="666666"/>
        <w:sz w:val="18"/>
        <w:szCs w:val="18"/>
      </w:rPr>
      <w:fldChar w:fldCharType="begin"/>
      <w:instrText xml:space="preserve">PAGE</w:instrText>
      <w:fldChar w:fldCharType="separate"/>
      <w:fldChar w:fldCharType="end"/>
    </w:r>
    <w:r>
      <w:rPr>
        <w:rFonts w:ascii="Calibri" w:cs="Calibri" w:eastAsia="Calibri" w:hAnsi="Calibri"/>
        <w:color w:val="666666"/>
        <w:sz w:val="18"/>
        <w:szCs w:val="18"/>
      </w:rPr>
      <w:t xml:space="preserve"> of </w:t>
    </w:r>
    <w:r>
      <w:rPr>
        <w:rFonts w:ascii="Calibri" w:cs="Calibri" w:eastAsia="Calibri" w:hAnsi="Calibri"/>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66666"/>
        <w:sz w:val="18"/>
        <w:szCs w:val="18"/>
      </w:rPr>
      <w:t xml:space="preserve">Publication Report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2026-07-30T07:46:49.210Z</dcterms:created>
  <dcterms:modified xsi:type="dcterms:W3CDTF">2026-07-30T07:46:49.210Z</dcterms:modified>
</cp:coreProperties>
</file>

<file path=docProps/custom.xml><?xml version="1.0" encoding="utf-8"?>
<Properties xmlns="http://schemas.openxmlformats.org/officeDocument/2006/custom-properties" xmlns:vt="http://schemas.openxmlformats.org/officeDocument/2006/docPropsVTypes"/>
</file>