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color w:val="1F3864"/>
          <w:sz w:val="40"/>
          <w:szCs w:val="40"/>
        </w:rPr>
        <w:t xml:space="preserve">AccrediAssist</w:t>
      </w:r>
    </w:p>
    <w:p>
      <w:pPr>
        <w:spacing w:before="800"/>
      </w:pPr>
    </w:p>
    <w:p>
      <w:pPr>
        <w:jc w:val="center"/>
      </w:pPr>
      <w:r>
        <w:rPr>
          <w:rFonts w:ascii="Calibri" w:cs="Calibri" w:eastAsia="Calibri" w:hAnsi="Calibri"/>
          <w:b/>
          <w:bCs/>
          <w:sz w:val="32"/>
          <w:szCs w:val="32"/>
        </w:rPr>
        <w:t xml:space="preserve">AccrediAssist Institution</w:t>
      </w:r>
    </w:p>
    <w:p>
      <w:pPr>
        <w:spacing w:after="200"/>
        <w:jc w:val="center"/>
      </w:pPr>
      <w:r>
        <w:rPr>
          <w:rFonts w:ascii="Calibri" w:cs="Calibri" w:eastAsia="Calibri" w:hAnsi="Calibri"/>
          <w:sz w:val="26"/>
          <w:szCs w:val="26"/>
        </w:rPr>
        <w:t xml:space="preserve">All Departments</w:t>
      </w:r>
    </w:p>
    <w:p>
      <w:pPr>
        <w:spacing w:after="400"/>
        <w:jc w:val="center"/>
      </w:pPr>
      <w:r>
        <w:rPr>
          <w:rFonts w:ascii="Calibri" w:cs="Calibri" w:eastAsia="Calibri" w:hAnsi="Calibri"/>
          <w:b/>
          <w:bCs/>
          <w:color w:val="1F3864"/>
          <w:sz w:val="30"/>
          <w:szCs w:val="30"/>
        </w:rPr>
        <w:t xml:space="preserve">Student Achievement Report (2025-2026)</w:t>
      </w:r>
    </w:p>
    <w:p>
      <w:pPr>
        <w:jc w:val="center"/>
      </w:pPr>
      <w:r>
        <w:rPr>
          <w:rFonts w:ascii="Calibri" w:cs="Calibri" w:eastAsia="Calibri" w:hAnsi="Calibri"/>
          <w:sz w:val="24"/>
          <w:szCs w:val="24"/>
        </w:rPr>
        <w:t xml:space="preserve">Academic Year: 2025-2026</w:t>
      </w:r>
    </w:p>
    <w:p>
      <w:pPr>
        <w:spacing w:after="600"/>
        <w:jc w:val="center"/>
      </w:pPr>
      <w:r>
        <w:rPr>
          <w:rFonts w:ascii="Calibri" w:cs="Calibri" w:eastAsia="Calibri" w:hAnsi="Calibri"/>
          <w:color w:val="666666"/>
          <w:sz w:val="22"/>
          <w:szCs w:val="22"/>
        </w:rPr>
        <w:t xml:space="preserve">Generated: 30 July 2026</w:t>
      </w:r>
    </w:p>
    <w:p>
      <w:r>
        <w:br w:type="page"/>
      </w:r>
    </w:p>
    <w:p>
      <w:pPr>
        <w:pStyle w:val="Heading1"/>
      </w:pPr>
      <w:r>
        <w:rPr>
          <w:rFonts w:ascii="Calibri" w:cs="Calibri" w:eastAsia="Calibri" w:hAnsi="Calibri"/>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sz w:val="28"/>
          <w:szCs w:val="28"/>
        </w:rPr>
        <w:t xml:space="preserve">Executive Summary</w:t>
      </w:r>
    </w:p>
    <w:p>
      <w:pPr>
        <w:spacing w:after="120" w:line="276"/>
      </w:pPr>
      <w:r>
        <w:rPr>
          <w:rFonts w:ascii="Calibri" w:cs="Calibri" w:eastAsia="Calibri" w:hAnsi="Calibri"/>
          <w:sz w:val="22"/>
          <w:szCs w:val="22"/>
        </w:rPr>
        <w:t xml:space="preserve">The Student Achievement Report for the 2025-2026 academic year documents a total of one recorded student achievement. This figure represents a 100% growth rate compared to the previous reporting period, during which no student achievement records were documented. The data indicates that the single recorded achievement is classified under the Technical category and originated from the Computer Engineering department. The record was formally logged in August 2025. As the institution transitions into the current academic cycle, this initial data point serves as the baseline for tracking student performance and extracurricular engagement. Future reporting periods will require a broader data set to establish meaningful trends in student development and departmental contributions to institutional excellence.</w:t>
      </w:r>
    </w:p>
    <w:p>
      <w:pPr>
        <w:pStyle w:val="Heading1"/>
      </w:pPr>
      <w:r>
        <w:rPr>
          <w:rFonts w:ascii="Calibri" w:cs="Calibri" w:eastAsia="Calibri" w:hAnsi="Calibri"/>
          <w:b/>
          <w:bCs/>
          <w:sz w:val="28"/>
          <w:szCs w:val="28"/>
        </w:rPr>
        <w:t xml:space="preserve">Key Highlights</w:t>
      </w:r>
    </w:p>
    <w:p>
      <w:pPr>
        <w:pStyle w:val="ListParagraph"/>
        <w:numPr>
          <w:ilvl w:val="0"/>
          <w:numId w:val="1"/>
        </w:numPr>
        <w:spacing w:after="80"/>
      </w:pPr>
      <w:r>
        <w:rPr>
          <w:rFonts w:ascii="Calibri" w:cs="Calibri" w:eastAsia="Calibri" w:hAnsi="Calibri"/>
          <w:sz w:val="22"/>
          <w:szCs w:val="22"/>
        </w:rPr>
        <w:t xml:space="preserve">Total records: 1</w:t>
      </w:r>
    </w:p>
    <w:p>
      <w:pPr>
        <w:pStyle w:val="ListParagraph"/>
        <w:numPr>
          <w:ilvl w:val="0"/>
          <w:numId w:val="1"/>
        </w:numPr>
        <w:spacing w:after="80"/>
      </w:pPr>
      <w:r>
        <w:rPr>
          <w:rFonts w:ascii="Calibri" w:cs="Calibri" w:eastAsia="Calibri" w:hAnsi="Calibri"/>
          <w:sz w:val="22"/>
          <w:szCs w:val="22"/>
        </w:rPr>
        <w:t xml:space="preserve">Growth percentage: 100%</w:t>
      </w:r>
    </w:p>
    <w:p>
      <w:pPr>
        <w:pStyle w:val="ListParagraph"/>
        <w:numPr>
          <w:ilvl w:val="0"/>
          <w:numId w:val="1"/>
        </w:numPr>
        <w:spacing w:after="80"/>
      </w:pPr>
      <w:r>
        <w:rPr>
          <w:rFonts w:ascii="Calibri" w:cs="Calibri" w:eastAsia="Calibri" w:hAnsi="Calibri"/>
          <w:sz w:val="22"/>
          <w:szCs w:val="22"/>
        </w:rPr>
        <w:t xml:space="preserve">Top department: Computer Engineering (1 record)</w:t>
      </w:r>
    </w:p>
    <w:p>
      <w:pPr>
        <w:pStyle w:val="ListParagraph"/>
        <w:numPr>
          <w:ilvl w:val="0"/>
          <w:numId w:val="1"/>
        </w:numPr>
        <w:spacing w:after="80"/>
      </w:pPr>
      <w:r>
        <w:rPr>
          <w:rFonts w:ascii="Calibri" w:cs="Calibri" w:eastAsia="Calibri" w:hAnsi="Calibri"/>
          <w:sz w:val="22"/>
          <w:szCs w:val="22"/>
        </w:rPr>
        <w:t xml:space="preserve">Top category: Technical (1 record)</w:t>
      </w:r>
    </w:p>
    <w:p>
      <w:pPr>
        <w:pStyle w:val="ListParagraph"/>
        <w:numPr>
          <w:ilvl w:val="0"/>
          <w:numId w:val="1"/>
        </w:numPr>
        <w:spacing w:after="80"/>
      </w:pPr>
      <w:r>
        <w:rPr>
          <w:rFonts w:ascii="Calibri" w:cs="Calibri" w:eastAsia="Calibri" w:hAnsi="Calibri"/>
          <w:sz w:val="22"/>
          <w:szCs w:val="22"/>
        </w:rPr>
        <w:t xml:space="preserve">Top performer: docx-report-test-Rahul (1 record)</w:t>
      </w:r>
    </w:p>
    <w:p>
      <w:pPr>
        <w:pStyle w:val="ListParagraph"/>
        <w:numPr>
          <w:ilvl w:val="0"/>
          <w:numId w:val="1"/>
        </w:numPr>
        <w:spacing w:after="80"/>
      </w:pPr>
      <w:r>
        <w:rPr>
          <w:rFonts w:ascii="Calibri" w:cs="Calibri" w:eastAsia="Calibri" w:hAnsi="Calibri"/>
          <w:sz w:val="22"/>
          <w:szCs w:val="22"/>
        </w:rPr>
        <w:t xml:space="preserve">Reporting period: 2025-06-01 to 2026-05-31</w:t>
      </w:r>
    </w:p>
    <w:p>
      <w:pPr>
        <w:pStyle w:val="Heading1"/>
      </w:pPr>
      <w:r>
        <w:rPr>
          <w:rFonts w:ascii="Calibri" w:cs="Calibri" w:eastAsia="Calibri" w:hAnsi="Calibri"/>
          <w:b/>
          <w:bCs/>
          <w:sz w:val="28"/>
          <w:szCs w:val="28"/>
        </w:rPr>
        <w:t xml:space="preserve">Statistics</w:t>
      </w:r>
    </w:p>
    <w:p>
      <w:pPr>
        <w:spacing w:after="120" w:line="276"/>
      </w:pPr>
      <w:r>
        <w:rPr>
          <w:rFonts w:ascii="Calibri" w:cs="Calibri" w:eastAsia="Calibri" w:hAnsi="Calibri"/>
          <w:sz w:val="22"/>
          <w:szCs w:val="22"/>
        </w:rPr>
        <w:t xml:space="preserve">Overall institutional records: 1. Report category: Student Achievement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Total Records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r>
      <w:tr>
        <w:tc>
          <w:tcPr>
            <w:tcMar>
              <w:top w:type="dxa" w:w="80"/>
              <w:left w:type="dxa" w:w="120"/>
              <w:bottom w:type="dxa" w:w="80"/>
              <w:right w:type="dxa" w:w="120"/>
            </w:tcMar>
          </w:tcPr>
          <w:p>
            <w:r>
              <w:rPr>
                <w:rFonts w:ascii="Calibri" w:cs="Calibri" w:eastAsia="Calibri" w:hAnsi="Calibri"/>
                <w:sz w:val="20"/>
                <w:szCs w:val="20"/>
              </w:rPr>
              <w:t xml:space="preserve">Student Achievements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bl>
    <w:p>
      <w:pPr>
        <w:pStyle w:val="Heading1"/>
      </w:pPr>
      <w:r>
        <w:rPr>
          <w:rFonts w:ascii="Calibri" w:cs="Calibri" w:eastAsia="Calibri" w:hAnsi="Calibri"/>
          <w:b/>
          <w:bCs/>
          <w:sz w:val="28"/>
          <w:szCs w:val="28"/>
        </w:rPr>
        <w:t xml:space="preserve">Charts</w:t>
      </w:r>
    </w:p>
    <w:p>
      <w:pPr>
        <w:spacing w:after="120" w:line="276"/>
      </w:pPr>
      <w:r>
        <w:rPr>
          <w:rFonts w:ascii="Calibri" w:cs="Calibri" w:eastAsia="Calibri" w:hAnsi="Calibri"/>
          <w:sz w:val="22"/>
          <w:szCs w:val="22"/>
        </w:rPr>
        <w:t xml:space="preserve">The following tables represent chart datasets embedded for accreditation and management review documentation.</w:t>
      </w:r>
    </w:p>
    <w:p>
      <w:pPr>
        <w:spacing w:after="120" w:before="240"/>
      </w:pPr>
      <w:r>
        <w:rPr>
          <w:rFonts w:ascii="Calibri" w:cs="Calibri" w:eastAsia="Calibri" w:hAnsi="Calibri"/>
          <w:b/>
          <w:bCs/>
          <w:color w:val="1F3864"/>
          <w:sz w:val="24"/>
          <w:szCs w:val="24"/>
        </w:rPr>
        <w:t xml:space="preserve">Student Achievement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 Achievements</w:t>
            </w:r>
          </w:p>
        </w:tc>
      </w:tr>
      <w:tr>
        <w:tc>
          <w:tcPr>
            <w:tcMar>
              <w:top w:type="dxa" w:w="80"/>
              <w:left w:type="dxa" w:w="120"/>
              <w:bottom w:type="dxa" w:w="80"/>
              <w:right w:type="dxa" w:w="120"/>
            </w:tcMar>
          </w:tcPr>
          <w:p>
            <w:r>
              <w:rPr>
                <w:rFonts w:ascii="Calibri" w:cs="Calibri" w:eastAsia="Calibri" w:hAnsi="Calibri"/>
                <w:sz w:val="20"/>
                <w:szCs w:val="20"/>
              </w:rPr>
              <w:t xml:space="preserve">Aug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Department-wise Distribution</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Department</w:t>
            </w:r>
          </w:p>
        </w:tc>
      </w:tr>
      <w:tr>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Category-wise Distribution</w:t>
      </w:r>
    </w:p>
    <w:p>
      <w:pPr>
        <w:spacing w:after="120" w:line="276"/>
      </w:pPr>
      <w:r>
        <w:rPr>
          <w:rFonts w:ascii="Calibri" w:cs="Calibri" w:eastAsia="Calibri" w:hAnsi="Calibri"/>
          <w:sz w:val="22"/>
          <w:szCs w:val="22"/>
        </w:rPr>
        <w:t xml:space="preserve">Chart type: DOUGHNUT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Category</w:t>
            </w:r>
          </w:p>
        </w:tc>
      </w:tr>
      <w:tr>
        <w:tc>
          <w:tcPr>
            <w:tcMar>
              <w:top w:type="dxa" w:w="80"/>
              <w:left w:type="dxa" w:w="120"/>
              <w:bottom w:type="dxa" w:w="80"/>
              <w:right w:type="dxa" w:w="120"/>
            </w:tcMar>
          </w:tcPr>
          <w:p>
            <w:r>
              <w:rPr>
                <w:rFonts w:ascii="Calibri" w:cs="Calibri" w:eastAsia="Calibri" w:hAnsi="Calibri"/>
                <w:sz w:val="20"/>
                <w:szCs w:val="20"/>
              </w:rPr>
              <w:t xml:space="preserve">Technical</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Yearly Growth Analysis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Yearly Total</w:t>
            </w:r>
          </w:p>
        </w:tc>
      </w:tr>
      <w:tr>
        <w:tc>
          <w:tcPr>
            <w:tcMar>
              <w:top w:type="dxa" w:w="80"/>
              <w:left w:type="dxa" w:w="120"/>
              <w:bottom w:type="dxa" w:w="80"/>
              <w:right w:type="dxa" w:w="120"/>
            </w:tcMar>
          </w:tcPr>
          <w:p>
            <w:r>
              <w:rPr>
                <w:rFonts w:ascii="Calibri" w:cs="Calibri" w:eastAsia="Calibri" w:hAnsi="Calibri"/>
                <w:sz w:val="20"/>
                <w:szCs w:val="20"/>
              </w:rPr>
              <w:t xml:space="preserve">Student Achievements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pStyle w:val="Heading1"/>
      </w:pPr>
      <w:r>
        <w:rPr>
          <w:rFonts w:ascii="Calibri" w:cs="Calibri" w:eastAsia="Calibri" w:hAnsi="Calibri"/>
          <w:b/>
          <w:bCs/>
          <w:sz w:val="28"/>
          <w:szCs w:val="28"/>
        </w:rPr>
        <w:t xml:space="preserve">Detailed Tables</w:t>
      </w:r>
    </w:p>
    <w:p>
      <w:pPr>
        <w:spacing w:after="120" w:before="240"/>
      </w:pPr>
      <w:r>
        <w:rPr>
          <w:rFonts w:ascii="Calibri" w:cs="Calibri" w:eastAsia="Calibri" w:hAnsi="Calibri"/>
          <w:b/>
          <w:bCs/>
          <w:color w:val="1F3864"/>
          <w:sz w:val="24"/>
          <w:szCs w:val="24"/>
        </w:rPr>
        <w:t xml:space="preserve">Student Achievements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department</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achievementType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title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6a6b0352cebac633b08ff38b</w:t>
            </w:r>
          </w:p>
        </w:tc>
        <w:tc>
          <w:tcPr>
            <w:tcMar>
              <w:top w:type="dxa" w:w="80"/>
              <w:left w:type="dxa" w:w="120"/>
              <w:bottom w:type="dxa" w:w="80"/>
              <w:right w:type="dxa" w:w="120"/>
            </w:tcMar>
          </w:tcPr>
          <w:p>
            <w:r>
              <w:rPr>
                <w:rFonts w:ascii="Calibri" w:cs="Calibri" w:eastAsia="Calibri" w:hAnsi="Calibri"/>
                <w:sz w:val="20"/>
                <w:szCs w:val="20"/>
              </w:rPr>
              <w:t xml:space="preserve">docx-report-test-Rahul</w:t>
            </w:r>
          </w:p>
        </w:tc>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Technical</w:t>
            </w:r>
          </w:p>
        </w:tc>
        <w:tc>
          <w:tcPr>
            <w:tcMar>
              <w:top w:type="dxa" w:w="80"/>
              <w:left w:type="dxa" w:w="120"/>
              <w:bottom w:type="dxa" w:w="80"/>
              <w:right w:type="dxa" w:w="120"/>
            </w:tcMar>
          </w:tcPr>
          <w:p>
            <w:r>
              <w:rPr>
                <w:rFonts w:ascii="Calibri" w:cs="Calibri" w:eastAsia="Calibri" w:hAnsi="Calibri"/>
                <w:sz w:val="20"/>
                <w:szCs w:val="20"/>
              </w:rPr>
              <w:t xml:space="preserve">Hackathon Winner</w:t>
            </w:r>
          </w:p>
        </w:tc>
        <w:tc>
          <w:tcPr>
            <w:tcMar>
              <w:top w:type="dxa" w:w="80"/>
              <w:left w:type="dxa" w:w="120"/>
              <w:bottom w:type="dxa" w:w="80"/>
              <w:right w:type="dxa" w:w="120"/>
            </w:tcMar>
          </w:tcPr>
          <w:p>
            <w:r>
              <w:rPr>
                <w:rFonts w:ascii="Calibri" w:cs="Calibri" w:eastAsia="Calibri" w:hAnsi="Calibri"/>
                <w:sz w:val="20"/>
                <w:szCs w:val="20"/>
              </w:rPr>
              <w:t xml:space="preserve">2025-08-15</w:t>
            </w:r>
          </w:p>
        </w:tc>
        <w:tc>
          <w:tcPr>
            <w:tcMar>
              <w:top w:type="dxa" w:w="80"/>
              <w:left w:type="dxa" w:w="120"/>
              <w:bottom w:type="dxa" w:w="80"/>
              <w:right w:type="dxa" w:w="120"/>
            </w:tcMar>
          </w:tcPr>
          <w:p>
            <w:r>
              <w:rPr>
                <w:rFonts w:ascii="Calibri" w:cs="Calibri" w:eastAsia="Calibri" w:hAnsi="Calibri"/>
                <w:sz w:val="20"/>
                <w:szCs w:val="20"/>
              </w:rPr>
              <w:t xml:space="preserve">2026-07-30</w:t>
            </w:r>
          </w:p>
        </w:tc>
      </w:tr>
    </w:tbl>
    <w:p>
      <w:pPr>
        <w:pStyle w:val="Heading1"/>
      </w:pPr>
      <w:r>
        <w:rPr>
          <w:rFonts w:ascii="Calibri" w:cs="Calibri" w:eastAsia="Calibri" w:hAnsi="Calibri"/>
          <w:b/>
          <w:bCs/>
          <w:sz w:val="28"/>
          <w:szCs w:val="28"/>
        </w:rPr>
        <w:t xml:space="preserve">Event Images</w:t>
      </w:r>
    </w:p>
    <w:p>
      <w:pPr>
        <w:spacing w:after="120" w:line="276"/>
      </w:pPr>
      <w:r>
        <w:rPr>
          <w:rFonts w:ascii="Calibri" w:cs="Calibri" w:eastAsia="Calibri" w:hAnsi="Calibri"/>
          <w:sz w:val="22"/>
          <w:szCs w:val="22"/>
        </w:rPr>
        <w:t xml:space="preserve">No event photographs were available for the selected report scope.</w:t>
      </w:r>
    </w:p>
    <w:p>
      <w:pPr>
        <w:pStyle w:val="Heading1"/>
      </w:pPr>
      <w:r>
        <w:rPr>
          <w:rFonts w:ascii="Calibri" w:cs="Calibri" w:eastAsia="Calibri" w:hAnsi="Calibri"/>
          <w:b/>
          <w:bCs/>
          <w:sz w:val="28"/>
          <w:szCs w:val="28"/>
        </w:rPr>
        <w:t xml:space="preserve">Recommendations</w:t>
      </w:r>
    </w:p>
    <w:p>
      <w:pPr>
        <w:pStyle w:val="ListParagraph"/>
        <w:numPr>
          <w:ilvl w:val="0"/>
          <w:numId w:val="1"/>
        </w:numPr>
        <w:spacing w:after="80"/>
      </w:pPr>
      <w:r>
        <w:rPr>
          <w:rFonts w:ascii="Calibri" w:cs="Calibri" w:eastAsia="Calibri" w:hAnsi="Calibri"/>
          <w:sz w:val="22"/>
          <w:szCs w:val="22"/>
        </w:rPr>
        <w:t xml:space="preserve">Implement standardized data collection protocols across all departments to ensure comprehensive reporting of student achievements.</w:t>
      </w:r>
    </w:p>
    <w:p>
      <w:pPr>
        <w:pStyle w:val="ListParagraph"/>
        <w:numPr>
          <w:ilvl w:val="0"/>
          <w:numId w:val="1"/>
        </w:numPr>
        <w:spacing w:after="80"/>
      </w:pPr>
      <w:r>
        <w:rPr>
          <w:rFonts w:ascii="Calibri" w:cs="Calibri" w:eastAsia="Calibri" w:hAnsi="Calibri"/>
          <w:sz w:val="22"/>
          <w:szCs w:val="22"/>
        </w:rPr>
        <w:t xml:space="preserve">Encourage faculty and administrative staff to increase the frequency of reporting student accomplishments beyond the Computer Engineering department.</w:t>
      </w:r>
    </w:p>
    <w:p>
      <w:pPr>
        <w:pStyle w:val="ListParagraph"/>
        <w:numPr>
          <w:ilvl w:val="0"/>
          <w:numId w:val="1"/>
        </w:numPr>
        <w:spacing w:after="80"/>
      </w:pPr>
      <w:r>
        <w:rPr>
          <w:rFonts w:ascii="Calibri" w:cs="Calibri" w:eastAsia="Calibri" w:hAnsi="Calibri"/>
          <w:sz w:val="22"/>
          <w:szCs w:val="22"/>
        </w:rPr>
        <w:t xml:space="preserve">Conduct a review of current tracking mechanisms to identify potential gaps in data entry for non-technical student achievements.</w:t>
      </w:r>
    </w:p>
    <w:p>
      <w:r>
        <w:br w:type="page"/>
      </w:r>
    </w:p>
    <w:p>
      <w:pPr>
        <w:pStyle w:val="Heading1"/>
      </w:pPr>
      <w:r>
        <w:rPr>
          <w:rFonts w:ascii="Calibri" w:cs="Calibri" w:eastAsia="Calibri" w:hAnsi="Calibri"/>
          <w:b/>
          <w:bCs/>
          <w:sz w:val="28"/>
          <w:szCs w:val="28"/>
        </w:rPr>
        <w:t xml:space="preserve">Appendix</w:t>
      </w:r>
    </w:p>
    <w:p>
      <w:pPr>
        <w:spacing w:after="120" w:line="276"/>
      </w:pPr>
      <w:r>
        <w:rPr>
          <w:rFonts w:ascii="Calibri" w:cs="Calibri" w:eastAsia="Calibri" w:hAnsi="Calibri"/>
          <w:sz w:val="22"/>
          <w:szCs w:val="22"/>
        </w:rPr>
        <w:t xml:space="preserve">Report Type: Student Achievement Report</w:t>
      </w:r>
    </w:p>
    <w:p>
      <w:pPr>
        <w:spacing w:after="120" w:line="276"/>
      </w:pPr>
      <w:r>
        <w:rPr>
          <w:rFonts w:ascii="Calibri" w:cs="Calibri" w:eastAsia="Calibri" w:hAnsi="Calibri"/>
          <w:sz w:val="22"/>
          <w:szCs w:val="22"/>
        </w:rPr>
        <w:t xml:space="preserve">Generated: 30 July 2026</w:t>
      </w:r>
    </w:p>
    <w:p>
      <w:pPr>
        <w:spacing w:after="120" w:line="276"/>
      </w:pPr>
      <w:r>
        <w:rPr>
          <w:rFonts w:ascii="Calibri" w:cs="Calibri" w:eastAsia="Calibri" w:hAnsi="Calibri"/>
          <w:sz w:val="22"/>
          <w:szCs w:val="22"/>
        </w:rPr>
        <w:t xml:space="preserve">Academic Year: 2025-2026</w:t>
      </w:r>
    </w:p>
    <w:p>
      <w:pPr>
        <w:spacing w:after="120" w:line="276"/>
      </w:pPr>
      <w:r>
        <w:rPr>
          <w:rFonts w:ascii="Calibri" w:cs="Calibri" w:eastAsia="Calibri" w:hAnsi="Calibri"/>
          <w:sz w:val="22"/>
          <w:szCs w:val="22"/>
        </w:rPr>
        <w:t xml:space="preserve">Department: All Departments</w:t>
      </w:r>
    </w:p>
    <w:p>
      <w:pPr>
        <w:spacing w:after="120" w:line="276"/>
      </w:pPr>
      <w:r>
        <w:rPr>
          <w:rFonts w:ascii="Calibri" w:cs="Calibri" w:eastAsia="Calibri" w:hAnsi="Calibri"/>
          <w:sz w:val="22"/>
          <w:szCs w:val="22"/>
        </w:rPr>
        <w:t xml:space="preserve">AI Summary Source: gemini</w:t>
      </w:r>
    </w:p>
    <w:p>
      <w:pPr>
        <w:spacing w:after="120" w:line="276"/>
      </w:pPr>
      <w:r>
        <w:rPr>
          <w:rFonts w:ascii="Calibri" w:cs="Calibri" w:eastAsia="Calibri" w:hAnsi="Calibri"/>
          <w:sz w:val="22"/>
          <w:szCs w:val="22"/>
        </w:rPr>
        <w:t xml:space="preserve">Sections Included: cover, table-of-contents, executive-summary, key-highlights, statistics, charts, detailed-tables, images, recommendations, appendix</w:t>
      </w:r>
    </w:p>
    <w:p>
      <w:pPr>
        <w:spacing w:after="120" w:line="276"/>
      </w:pPr>
      <w:r>
        <w:rPr>
          <w:rFonts w:ascii="Calibri" w:cs="Calibri" w:eastAsia="Calibri" w:hAnsi="Calibri"/>
          <w:sz w:val="22"/>
          <w:szCs w:val="22"/>
        </w:rPr>
        <w:t xml:space="preserve">Section Order Reference: cover → table-of-contents → executive-summary → key-highlights → statistics → charts → detailed-tables → images → recommendations → appendix</w:t>
      </w:r>
    </w:p>
    <w:p>
      <w:pPr>
        <w:spacing w:after="120" w:before="240"/>
      </w:pPr>
      <w:r>
        <w:rPr>
          <w:rFonts w:ascii="Calibri" w:cs="Calibri" w:eastAsia="Calibri" w:hAnsi="Calibri"/>
          <w:b/>
          <w:bCs/>
          <w:color w:val="1F3864"/>
          <w:sz w:val="24"/>
          <w:szCs w:val="24"/>
        </w:rPr>
        <w:t xml:space="preserve">Institutional Strengths</w:t>
      </w:r>
    </w:p>
    <w:p>
      <w:pPr>
        <w:pStyle w:val="ListParagraph"/>
        <w:numPr>
          <w:ilvl w:val="0"/>
          <w:numId w:val="1"/>
        </w:numPr>
        <w:spacing w:after="80"/>
      </w:pPr>
      <w:r>
        <w:rPr>
          <w:rFonts w:ascii="Calibri" w:cs="Calibri" w:eastAsia="Calibri" w:hAnsi="Calibri"/>
          <w:sz w:val="22"/>
          <w:szCs w:val="22"/>
        </w:rPr>
        <w:t xml:space="preserve">Achieved a 100% growth rate in student achievement documentation compared to the previous period.</w:t>
      </w:r>
    </w:p>
    <w:p>
      <w:pPr>
        <w:pStyle w:val="ListParagraph"/>
        <w:numPr>
          <w:ilvl w:val="0"/>
          <w:numId w:val="1"/>
        </w:numPr>
        <w:spacing w:after="80"/>
      </w:pPr>
      <w:r>
        <w:rPr>
          <w:rFonts w:ascii="Calibri" w:cs="Calibri" w:eastAsia="Calibri" w:hAnsi="Calibri"/>
          <w:sz w:val="22"/>
          <w:szCs w:val="22"/>
        </w:rPr>
        <w:t xml:space="preserve">Successful capture of a technical-category achievement within the Computer Engineering department.</w:t>
      </w:r>
    </w:p>
    <w:p>
      <w:pPr>
        <w:spacing w:after="120" w:before="240"/>
      </w:pPr>
      <w:r>
        <w:rPr>
          <w:rFonts w:ascii="Calibri" w:cs="Calibri" w:eastAsia="Calibri" w:hAnsi="Calibri"/>
          <w:b/>
          <w:bCs/>
          <w:color w:val="1F3864"/>
          <w:sz w:val="24"/>
          <w:szCs w:val="24"/>
        </w:rPr>
        <w:t xml:space="preserve">Observations</w:t>
      </w:r>
    </w:p>
    <w:p>
      <w:pPr>
        <w:pStyle w:val="ListParagraph"/>
        <w:numPr>
          <w:ilvl w:val="0"/>
          <w:numId w:val="1"/>
        </w:numPr>
        <w:spacing w:after="80"/>
      </w:pPr>
      <w:r>
        <w:rPr>
          <w:rFonts w:ascii="Calibri" w:cs="Calibri" w:eastAsia="Calibri" w:hAnsi="Calibri"/>
          <w:sz w:val="22"/>
          <w:szCs w:val="22"/>
        </w:rPr>
        <w:t xml:space="preserve">A total of one student achievement record was logged for the 2025-2026 academic year.</w:t>
      </w:r>
    </w:p>
    <w:p>
      <w:pPr>
        <w:pStyle w:val="ListParagraph"/>
        <w:numPr>
          <w:ilvl w:val="0"/>
          <w:numId w:val="1"/>
        </w:numPr>
        <w:spacing w:after="80"/>
      </w:pPr>
      <w:r>
        <w:rPr>
          <w:rFonts w:ascii="Calibri" w:cs="Calibri" w:eastAsia="Calibri" w:hAnsi="Calibri"/>
          <w:sz w:val="22"/>
          <w:szCs w:val="22"/>
        </w:rPr>
        <w:t xml:space="preserve">The recorded achievement is exclusively attributed to the Computer Engineering department.</w:t>
      </w:r>
    </w:p>
    <w:p>
      <w:pPr>
        <w:pStyle w:val="ListParagraph"/>
        <w:numPr>
          <w:ilvl w:val="0"/>
          <w:numId w:val="1"/>
        </w:numPr>
        <w:spacing w:after="80"/>
      </w:pPr>
      <w:r>
        <w:rPr>
          <w:rFonts w:ascii="Calibri" w:cs="Calibri" w:eastAsia="Calibri" w:hAnsi="Calibri"/>
          <w:sz w:val="22"/>
          <w:szCs w:val="22"/>
        </w:rPr>
        <w:t xml:space="preserve">The data reflects a single entry in the Technical category.</w:t>
      </w:r>
    </w:p>
    <w:p>
      <w:pPr>
        <w:pStyle w:val="ListParagraph"/>
        <w:numPr>
          <w:ilvl w:val="0"/>
          <w:numId w:val="1"/>
        </w:numPr>
        <w:spacing w:after="80"/>
      </w:pPr>
      <w:r>
        <w:rPr>
          <w:rFonts w:ascii="Calibri" w:cs="Calibri" w:eastAsia="Calibri" w:hAnsi="Calibri"/>
          <w:sz w:val="22"/>
          <w:szCs w:val="22"/>
        </w:rPr>
        <w:t xml:space="preserve">The record was registered during the month of August 2025.</w:t>
      </w:r>
    </w:p>
    <w:p>
      <w:pPr>
        <w:pStyle w:val="ListParagraph"/>
        <w:numPr>
          <w:ilvl w:val="0"/>
          <w:numId w:val="1"/>
        </w:numPr>
        <w:spacing w:after="80"/>
      </w:pPr>
      <w:r>
        <w:rPr>
          <w:rFonts w:ascii="Calibri" w:cs="Calibri" w:eastAsia="Calibri" w:hAnsi="Calibri"/>
          <w:sz w:val="22"/>
          <w:szCs w:val="22"/>
        </w:rPr>
        <w:t xml:space="preserve">No student achievement records were recorded for the 2024-2025 period.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AccrediAssist |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Student Achievement Report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2026-07-30T07:55:19.246Z</dcterms:created>
  <dcterms:modified xsi:type="dcterms:W3CDTF">2026-07-30T07:55:19.246Z</dcterms:modified>
</cp:coreProperties>
</file>

<file path=docProps/custom.xml><?xml version="1.0" encoding="utf-8"?>
<Properties xmlns="http://schemas.openxmlformats.org/officeDocument/2006/custom-properties" xmlns:vt="http://schemas.openxmlformats.org/officeDocument/2006/docPropsVTypes"/>
</file>