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Workshop Report on Generative AI and Prompt Engineering</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Generative AI and Prompt Engineering – From Concepts to Applications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AI Innovation Hub &amp; TechLearn Academy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Innovation Lab, Pune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31st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1</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workshop on 'Generative AI and Prompt Engineering' was organized to address the growing demand for expertise in artificial intelligence technologies. As Generative AI continues to reshape industries, it is imperative for students to gain hands-on experience with these tools.</w:t>
      </w:r>
    </w:p>
    <w:p>
      <w:pPr>
        <w:spacing w:after="120" w:line="240"/>
        <w:jc w:val="both"/>
      </w:pPr>
      <w:r>
        <w:rPr>
          <w:rFonts w:ascii="Times New Roman" w:cs="Times New Roman" w:eastAsia="Times New Roman" w:hAnsi="Times New Roman"/>
          <w:sz w:val="24"/>
          <w:szCs w:val="24"/>
        </w:rPr>
        <w:t xml:space="preserve">The event provided a platform for students to explore the intersection of LLMs and practical application, ensuring that academic learning remains aligned with current industry trends.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practical exposure to Generative AI technologies.</w:t>
      </w:r>
    </w:p>
    <w:p>
      <w:pPr>
        <w:spacing w:after="80" w:line="240"/>
        <w:jc w:val="both"/>
      </w:pPr>
      <w:r>
        <w:rPr>
          <w:rFonts w:ascii="Times New Roman" w:cs="Times New Roman" w:eastAsia="Times New Roman" w:hAnsi="Times New Roman"/>
          <w:sz w:val="24"/>
          <w:szCs w:val="24"/>
        </w:rPr>
        <w:t xml:space="preserve">2. To understand the architecture and functioning of Large Language Models (LLMs).</w:t>
      </w:r>
    </w:p>
    <w:p>
      <w:pPr>
        <w:spacing w:after="80" w:line="240"/>
        <w:jc w:val="both"/>
      </w:pPr>
      <w:r>
        <w:rPr>
          <w:rFonts w:ascii="Times New Roman" w:cs="Times New Roman" w:eastAsia="Times New Roman" w:hAnsi="Times New Roman"/>
          <w:sz w:val="24"/>
          <w:szCs w:val="24"/>
        </w:rPr>
        <w:t xml:space="preserve">3. To master the art of prompt engineering for effective AI interaction.</w:t>
      </w:r>
    </w:p>
    <w:p>
      <w:pPr>
        <w:spacing w:after="80" w:line="240"/>
        <w:jc w:val="both"/>
      </w:pPr>
      <w:r>
        <w:rPr>
          <w:rFonts w:ascii="Times New Roman" w:cs="Times New Roman" w:eastAsia="Times New Roman" w:hAnsi="Times New Roman"/>
          <w:sz w:val="24"/>
          <w:szCs w:val="24"/>
        </w:rPr>
        <w:t xml:space="preserve">4. To explore responsible AI practices and ethical considerations.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current landscape of Generative AI. The session flow was designed to transition from foundational concepts to advanced prompt engineering techniques.</w:t>
      </w:r>
    </w:p>
    <w:p>
      <w:pPr>
        <w:spacing w:after="120" w:line="240"/>
        <w:jc w:val="both"/>
      </w:pPr>
      <w:r>
        <w:rPr>
          <w:rFonts w:ascii="Times New Roman" w:cs="Times New Roman" w:eastAsia="Times New Roman" w:hAnsi="Times New Roman"/>
          <w:sz w:val="24"/>
          <w:szCs w:val="24"/>
        </w:rPr>
        <w:t xml:space="preserve">Participants engaged in interactive sessions where they explored the capabilities of various AI models. The delivery was highly practical, focusing on real-world use cases and iterative prompt refinement.</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Ms. Sneha More, a third-year student, demonstrated high levels of engagement throughout the workshop. Her active participation in hands-on activities and discussions reflects the department's commitment to fostering a culture of proactive learning.</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 Fundamentals</w:t>
      </w:r>
    </w:p>
    <w:p>
      <w:pPr>
        <w:spacing w:after="80" w:line="240"/>
        <w:jc w:val="both"/>
      </w:pPr>
      <w:r>
        <w:rPr>
          <w:rFonts w:ascii="Times New Roman" w:cs="Times New Roman" w:eastAsia="Times New Roman" w:hAnsi="Times New Roman"/>
          <w:sz w:val="24"/>
          <w:szCs w:val="24"/>
        </w:rPr>
        <w:t xml:space="preserve">2. Large Language Models (LLMs)</w:t>
      </w:r>
    </w:p>
    <w:p>
      <w:pPr>
        <w:spacing w:after="80" w:line="240"/>
        <w:jc w:val="both"/>
      </w:pPr>
      <w:r>
        <w:rPr>
          <w:rFonts w:ascii="Times New Roman" w:cs="Times New Roman" w:eastAsia="Times New Roman" w:hAnsi="Times New Roman"/>
          <w:sz w:val="24"/>
          <w:szCs w:val="24"/>
        </w:rPr>
        <w:t xml:space="preserve">3. Prompt Engineering Techniques</w:t>
      </w:r>
    </w:p>
    <w:p>
      <w:pPr>
        <w:spacing w:after="80" w:line="240"/>
        <w:jc w:val="both"/>
      </w:pPr>
      <w:r>
        <w:rPr>
          <w:rFonts w:ascii="Times New Roman" w:cs="Times New Roman" w:eastAsia="Times New Roman" w:hAnsi="Times New Roman"/>
          <w:sz w:val="24"/>
          <w:szCs w:val="24"/>
        </w:rPr>
        <w:t xml:space="preserve">4. Responsible AI Practices</w:t>
      </w:r>
    </w:p>
    <w:p>
      <w:pPr>
        <w:spacing w:after="80" w:line="240"/>
        <w:jc w:val="both"/>
      </w:pPr>
      <w:r>
        <w:rPr>
          <w:rFonts w:ascii="Times New Roman" w:cs="Times New Roman" w:eastAsia="Times New Roman" w:hAnsi="Times New Roman"/>
          <w:sz w:val="24"/>
          <w:szCs w:val="24"/>
        </w:rPr>
        <w:t xml:space="preserve">5. Real-world AI Applications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Proficiency in designing effective prompts for AI models.</w:t>
      </w:r>
    </w:p>
    <w:p>
      <w:pPr>
        <w:spacing w:after="80" w:line="240"/>
        <w:jc w:val="both"/>
      </w:pPr>
      <w:r>
        <w:rPr>
          <w:rFonts w:ascii="Times New Roman" w:cs="Times New Roman" w:eastAsia="Times New Roman" w:hAnsi="Times New Roman"/>
          <w:sz w:val="24"/>
          <w:szCs w:val="24"/>
        </w:rPr>
        <w:t xml:space="preserve">2. Enhanced understanding of the Generative AI ecosystem.</w:t>
      </w:r>
    </w:p>
    <w:p>
      <w:pPr>
        <w:spacing w:after="80" w:line="240"/>
        <w:jc w:val="both"/>
      </w:pPr>
      <w:r>
        <w:rPr>
          <w:rFonts w:ascii="Times New Roman" w:cs="Times New Roman" w:eastAsia="Times New Roman" w:hAnsi="Times New Roman"/>
          <w:sz w:val="24"/>
          <w:szCs w:val="24"/>
        </w:rPr>
        <w:t xml:space="preserve">3. Ability to integrate AI tools into academic and professional projects.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Focus on hands-on learning.</w:t>
      </w:r>
    </w:p>
    <w:p>
      <w:pPr>
        <w:spacing w:after="80" w:line="240"/>
        <w:jc w:val="both"/>
      </w:pPr>
      <w:r>
        <w:rPr>
          <w:rFonts w:ascii="Times New Roman" w:cs="Times New Roman" w:eastAsia="Times New Roman" w:hAnsi="Times New Roman"/>
          <w:sz w:val="24"/>
          <w:szCs w:val="24"/>
        </w:rPr>
        <w:t xml:space="preserve">2. Exposure to industry-relevant AI tools.</w:t>
      </w:r>
    </w:p>
    <w:p>
      <w:pPr>
        <w:spacing w:after="80" w:line="240"/>
        <w:jc w:val="both"/>
      </w:pPr>
      <w:r>
        <w:rPr>
          <w:rFonts w:ascii="Times New Roman" w:cs="Times New Roman" w:eastAsia="Times New Roman" w:hAnsi="Times New Roman"/>
          <w:sz w:val="24"/>
          <w:szCs w:val="24"/>
        </w:rPr>
        <w:t xml:space="preserve">3. Emphasis on responsible and ethical AI usage.</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Improved technical skills in AI.</w:t>
      </w:r>
    </w:p>
    <w:p>
      <w:pPr>
        <w:spacing w:after="80" w:line="240"/>
        <w:jc w:val="both"/>
      </w:pPr>
      <w:r>
        <w:rPr>
          <w:rFonts w:ascii="Times New Roman" w:cs="Times New Roman" w:eastAsia="Times New Roman" w:hAnsi="Times New Roman"/>
          <w:sz w:val="24"/>
          <w:szCs w:val="24"/>
        </w:rPr>
        <w:t xml:space="preserve">2. Better preparation for industry-standard roles.</w:t>
      </w:r>
    </w:p>
    <w:p>
      <w:pPr>
        <w:spacing w:after="80" w:line="240"/>
        <w:jc w:val="both"/>
      </w:pPr>
      <w:r>
        <w:rPr>
          <w:rFonts w:ascii="Times New Roman" w:cs="Times New Roman" w:eastAsia="Times New Roman" w:hAnsi="Times New Roman"/>
          <w:sz w:val="24"/>
          <w:szCs w:val="24"/>
        </w:rPr>
        <w:t xml:space="preserve">3. Enhanced capability for academic research and projects.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introducing students to the practical aspects of Generative AI. The skills acquired are expected to have a long-term positive impact on the student's academic and professional journey.</w:t>
      </w:r>
    </w:p>
    <w:p>
      <w:pPr>
        <w:spacing w:after="120" w:line="240"/>
        <w:jc w:val="both"/>
      </w:pPr>
      <w:r>
        <w:rPr>
          <w:rFonts w:ascii="Times New Roman" w:cs="Times New Roman" w:eastAsia="Times New Roman" w:hAnsi="Times New Roman"/>
          <w:sz w:val="24"/>
          <w:szCs w:val="24"/>
        </w:rPr>
        <w:t xml:space="preserve">The department will continue to support such initiatives to ensure students remain competitive in the evolving technological landscape.</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workshop report details the participation of Ms. Sneha More in a technical training session on Generative AI and Prompt Engineering. Held on July 31, 2026, at the Innovation Lab, Pune, the event provided essential hands-on experience with Large Language Models and prompt engineering techniques. The workshop emphasized practical application, ethical AI usage, and industry-relevant skills, significantly contributing to the student's technical development. The department recognizes this as a valuable initiative for bridging the gap between theoretical knowledge and real-world AI implementation.</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gratitude to the AI Innovation Hub &amp; TechLearn Academy for organizing this insightful workshop. We also appreciate the faculty and the student for their dedication to continuous learning.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2026-08-08T06:54:27.067Z</dcterms:created>
  <dcterms:modified xsi:type="dcterms:W3CDTF">2026-08-08T06:54:27.067Z</dcterms:modified>
</cp:coreProperties>
</file>

<file path=docProps/custom.xml><?xml version="1.0" encoding="utf-8"?>
<Properties xmlns="http://schemas.openxmlformats.org/officeDocument/2006/custom-properties" xmlns:vt="http://schemas.openxmlformats.org/officeDocument/2006/docPropsVTypes"/>
</file>