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Information was not available in the provided WhatsApp conversation or uploaded documents.</w:t>
      </w:r>
    </w:p>
    <w:p>
      <w:pPr>
        <w:spacing w:after="200" w:before="200" w:line="240"/>
        <w:jc w:val="center"/>
      </w:pPr>
      <w:r>
        <w:rPr>
          <w:rFonts w:ascii="Times New Roman" w:cs="Times New Roman" w:eastAsia="Times New Roman" w:hAnsi="Times New Roman"/>
          <w:b/>
          <w:bCs/>
          <w:sz w:val="36"/>
          <w:szCs w:val="36"/>
        </w:rPr>
        <w:t xml:space="preserve">Workshop Report on NBA Accreditation SAR Format</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NBA SAR Format (GAPC V4.0) Orientation</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National Board of Accreditation</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National Board of Accreditation, New Delhi</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July 2024</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Information was not available in the provided WhatsApp conversation or uploaded documents.</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National Board of Accreditation (NBA) has introduced the updated Self-Assessment Report (SAR) format, Version 4.0 (GAPC V4.0), to streamline the accreditation process for undergraduate engineering programs in Tier-I institutions.</w:t>
      </w:r>
    </w:p>
    <w:p>
      <w:pPr>
        <w:spacing w:after="120" w:line="240"/>
        <w:jc w:val="both"/>
      </w:pPr>
      <w:r>
        <w:rPr>
          <w:rFonts w:ascii="Times New Roman" w:cs="Times New Roman" w:eastAsia="Times New Roman" w:hAnsi="Times New Roman"/>
          <w:sz w:val="24"/>
          <w:szCs w:val="24"/>
        </w:rPr>
        <w:t xml:space="preserve">This document serves as the official guideline for institutions to document their compliance with outcome-based education standards and professional competencies.</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standardize the reporting of institutional data for accreditation.</w:t>
      </w:r>
    </w:p>
    <w:p>
      <w:pPr>
        <w:spacing w:after="80" w:line="240"/>
        <w:jc w:val="both"/>
      </w:pPr>
      <w:r>
        <w:rPr>
          <w:rFonts w:ascii="Times New Roman" w:cs="Times New Roman" w:eastAsia="Times New Roman" w:hAnsi="Times New Roman"/>
          <w:sz w:val="24"/>
          <w:szCs w:val="24"/>
        </w:rPr>
        <w:t xml:space="preserve">2. To provide a clear framework for mapping program outcomes and course outcomes.</w:t>
      </w:r>
    </w:p>
    <w:p>
      <w:pPr>
        <w:spacing w:after="80" w:line="240"/>
        <w:jc w:val="both"/>
      </w:pPr>
      <w:r>
        <w:rPr>
          <w:rFonts w:ascii="Times New Roman" w:cs="Times New Roman" w:eastAsia="Times New Roman" w:hAnsi="Times New Roman"/>
          <w:sz w:val="24"/>
          <w:szCs w:val="24"/>
        </w:rPr>
        <w:t xml:space="preserve">3. To ensure transparency and quality in engineering education.</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document outlines the systematic approach required for accreditation, starting from institutional information to the detailed criteria summary.</w:t>
      </w:r>
    </w:p>
    <w:p>
      <w:pPr>
        <w:spacing w:after="120" w:line="240"/>
        <w:jc w:val="both"/>
      </w:pPr>
      <w:r>
        <w:rPr>
          <w:rFonts w:ascii="Times New Roman" w:cs="Times New Roman" w:eastAsia="Times New Roman" w:hAnsi="Times New Roman"/>
          <w:sz w:val="24"/>
          <w:szCs w:val="24"/>
        </w:rPr>
        <w:t xml:space="preserve">It provides specific instructions for faculty data, student performance metrics, and research contributions, ensuring that all aspects of the institution are evaluated against established benchmarks.</w:t>
      </w:r>
    </w:p>
    <w:p>
      <w:pPr>
        <w:spacing w:after="120" w:line="240"/>
        <w:jc w:val="both"/>
      </w:pPr>
      <w:r>
        <w:rPr>
          <w:rFonts w:ascii="Times New Roman" w:cs="Times New Roman" w:eastAsia="Times New Roman" w:hAnsi="Times New Roman"/>
          <w:sz w:val="24"/>
          <w:szCs w:val="24"/>
        </w:rPr>
        <w:t xml:space="preserve">The document is an official publication of the National Board of Accreditation, reflecting the collective expertise of the board in setting quality standards for engineering education.</w:t>
      </w:r>
    </w:p>
    <w:p>
      <w:pPr>
        <w:spacing w:after="120" w:line="240"/>
        <w:jc w:val="both"/>
      </w:pPr>
      <w:r>
        <w:rPr>
          <w:rFonts w:ascii="Times New Roman" w:cs="Times New Roman" w:eastAsia="Times New Roman" w:hAnsi="Times New Roman"/>
          <w:sz w:val="24"/>
          <w:szCs w:val="24"/>
        </w:rPr>
        <w:t xml:space="preserve">The SAR format requires detailed documentation of student participation in professional events, publications, and innovative projects, emphasizing the role of students in the accreditation process.</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Outcome-Based Curriculum</w:t>
      </w:r>
    </w:p>
    <w:p>
      <w:pPr>
        <w:spacing w:after="80" w:line="240"/>
        <w:jc w:val="both"/>
      </w:pPr>
      <w:r>
        <w:rPr>
          <w:rFonts w:ascii="Times New Roman" w:cs="Times New Roman" w:eastAsia="Times New Roman" w:hAnsi="Times New Roman"/>
          <w:sz w:val="24"/>
          <w:szCs w:val="24"/>
        </w:rPr>
        <w:t xml:space="preserve">2. Outcome-Based Teaching-Learning</w:t>
      </w:r>
    </w:p>
    <w:p>
      <w:pPr>
        <w:spacing w:after="80" w:line="240"/>
        <w:jc w:val="both"/>
      </w:pPr>
      <w:r>
        <w:rPr>
          <w:rFonts w:ascii="Times New Roman" w:cs="Times New Roman" w:eastAsia="Times New Roman" w:hAnsi="Times New Roman"/>
          <w:sz w:val="24"/>
          <w:szCs w:val="24"/>
        </w:rPr>
        <w:t xml:space="preserve">3. Outcome-Based Assessment</w:t>
      </w:r>
    </w:p>
    <w:p>
      <w:pPr>
        <w:spacing w:after="80" w:line="240"/>
        <w:jc w:val="both"/>
      </w:pPr>
      <w:r>
        <w:rPr>
          <w:rFonts w:ascii="Times New Roman" w:cs="Times New Roman" w:eastAsia="Times New Roman" w:hAnsi="Times New Roman"/>
          <w:sz w:val="24"/>
          <w:szCs w:val="24"/>
        </w:rPr>
        <w:t xml:space="preserve">4. Student Performance</w:t>
      </w:r>
    </w:p>
    <w:p>
      <w:pPr>
        <w:spacing w:after="80" w:line="240"/>
        <w:jc w:val="both"/>
      </w:pPr>
      <w:r>
        <w:rPr>
          <w:rFonts w:ascii="Times New Roman" w:cs="Times New Roman" w:eastAsia="Times New Roman" w:hAnsi="Times New Roman"/>
          <w:sz w:val="24"/>
          <w:szCs w:val="24"/>
        </w:rPr>
        <w:t xml:space="preserve">5. Faculty Information and Contributions</w:t>
      </w:r>
    </w:p>
    <w:p>
      <w:pPr>
        <w:spacing w:after="80" w:line="240"/>
        <w:jc w:val="both"/>
      </w:pPr>
      <w:r>
        <w:rPr>
          <w:rFonts w:ascii="Times New Roman" w:cs="Times New Roman" w:eastAsia="Times New Roman" w:hAnsi="Times New Roman"/>
          <w:sz w:val="24"/>
          <w:szCs w:val="24"/>
        </w:rPr>
        <w:t xml:space="preserve">6. Facilities and Technical Support</w:t>
      </w:r>
    </w:p>
    <w:p>
      <w:pPr>
        <w:spacing w:after="80" w:line="240"/>
        <w:jc w:val="both"/>
      </w:pPr>
      <w:r>
        <w:rPr>
          <w:rFonts w:ascii="Times New Roman" w:cs="Times New Roman" w:eastAsia="Times New Roman" w:hAnsi="Times New Roman"/>
          <w:sz w:val="24"/>
          <w:szCs w:val="24"/>
        </w:rPr>
        <w:t xml:space="preserve">7. Continuous Improvement</w:t>
      </w:r>
    </w:p>
    <w:p>
      <w:pPr>
        <w:spacing w:after="80" w:line="240"/>
        <w:jc w:val="both"/>
      </w:pPr>
      <w:r>
        <w:rPr>
          <w:rFonts w:ascii="Times New Roman" w:cs="Times New Roman" w:eastAsia="Times New Roman" w:hAnsi="Times New Roman"/>
          <w:sz w:val="24"/>
          <w:szCs w:val="24"/>
        </w:rPr>
        <w:t xml:space="preserve">8. Student Support System and Governance</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The SAR format is structured into nine criteria, each with specific weightage and documentation requirements, to be completed over the assessment period.</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Institutions will be better equipped to document their adherence to NBA standards.</w:t>
      </w:r>
    </w:p>
    <w:p>
      <w:pPr>
        <w:spacing w:after="80" w:line="240"/>
        <w:jc w:val="both"/>
      </w:pPr>
      <w:r>
        <w:rPr>
          <w:rFonts w:ascii="Times New Roman" w:cs="Times New Roman" w:eastAsia="Times New Roman" w:hAnsi="Times New Roman"/>
          <w:sz w:val="24"/>
          <w:szCs w:val="24"/>
        </w:rPr>
        <w:t xml:space="preserve">2. Improved understanding of the metrics required for accreditation.</w:t>
      </w:r>
    </w:p>
    <w:p>
      <w:pPr>
        <w:spacing w:after="80" w:line="240"/>
        <w:jc w:val="both"/>
      </w:pPr>
      <w:r>
        <w:rPr>
          <w:rFonts w:ascii="Times New Roman" w:cs="Times New Roman" w:eastAsia="Times New Roman" w:hAnsi="Times New Roman"/>
          <w:sz w:val="24"/>
          <w:szCs w:val="24"/>
        </w:rPr>
        <w:t xml:space="preserve">3. Enhanced ability to demonstrate continuous improvement in academic and research activities.</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Introduction of GAPC V4.0.</w:t>
      </w:r>
    </w:p>
    <w:p>
      <w:pPr>
        <w:spacing w:after="80" w:line="240"/>
        <w:jc w:val="both"/>
      </w:pPr>
      <w:r>
        <w:rPr>
          <w:rFonts w:ascii="Times New Roman" w:cs="Times New Roman" w:eastAsia="Times New Roman" w:hAnsi="Times New Roman"/>
          <w:sz w:val="24"/>
          <w:szCs w:val="24"/>
        </w:rPr>
        <w:t xml:space="preserve">2. Comprehensive nine-criterion framework.</w:t>
      </w:r>
    </w:p>
    <w:p>
      <w:pPr>
        <w:spacing w:after="80" w:line="240"/>
        <w:jc w:val="both"/>
      </w:pPr>
      <w:r>
        <w:rPr>
          <w:rFonts w:ascii="Times New Roman" w:cs="Times New Roman" w:eastAsia="Times New Roman" w:hAnsi="Times New Roman"/>
          <w:sz w:val="24"/>
          <w:szCs w:val="24"/>
        </w:rPr>
        <w:t xml:space="preserve">3. Standardized tables for data reporting.</w:t>
      </w:r>
    </w:p>
    <w:p>
      <w:pPr>
        <w:spacing w:after="80" w:line="240"/>
        <w:jc w:val="both"/>
      </w:pPr>
      <w:r>
        <w:rPr>
          <w:rFonts w:ascii="Times New Roman" w:cs="Times New Roman" w:eastAsia="Times New Roman" w:hAnsi="Times New Roman"/>
          <w:sz w:val="24"/>
          <w:szCs w:val="24"/>
        </w:rPr>
        <w:t xml:space="preserve">4. Focus on sustainable development goals.</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Clearer path to NBA accreditation.</w:t>
      </w:r>
    </w:p>
    <w:p>
      <w:pPr>
        <w:spacing w:after="80" w:line="240"/>
        <w:jc w:val="both"/>
      </w:pPr>
      <w:r>
        <w:rPr>
          <w:rFonts w:ascii="Times New Roman" w:cs="Times New Roman" w:eastAsia="Times New Roman" w:hAnsi="Times New Roman"/>
          <w:sz w:val="24"/>
          <w:szCs w:val="24"/>
        </w:rPr>
        <w:t xml:space="preserve">2. Standardized quality assurance processes.</w:t>
      </w:r>
    </w:p>
    <w:p>
      <w:pPr>
        <w:spacing w:after="80" w:line="240"/>
        <w:jc w:val="both"/>
      </w:pPr>
      <w:r>
        <w:rPr>
          <w:rFonts w:ascii="Times New Roman" w:cs="Times New Roman" w:eastAsia="Times New Roman" w:hAnsi="Times New Roman"/>
          <w:sz w:val="24"/>
          <w:szCs w:val="24"/>
        </w:rPr>
        <w:t xml:space="preserve">3. Better alignment with global engineering competencies.</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SAR Format Version 4.0 is a vital tool for institutions aiming for NBA accreditation. It provides a structured and transparent framework that encourages institutions to evaluate their performance critically.</w:t>
      </w:r>
    </w:p>
    <w:p>
      <w:pPr>
        <w:spacing w:after="120" w:line="240"/>
        <w:jc w:val="both"/>
      </w:pPr>
      <w:r>
        <w:rPr>
          <w:rFonts w:ascii="Times New Roman" w:cs="Times New Roman" w:eastAsia="Times New Roman" w:hAnsi="Times New Roman"/>
          <w:sz w:val="24"/>
          <w:szCs w:val="24"/>
        </w:rPr>
        <w:t xml:space="preserve">By following these guidelines, institutions can ensure that their engineering programs meet the highest standards of quality and relevance.</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The NBA SAR Format Version 4.0 (GAPC V4.0) is the definitive guide for Tier-I engineering institutions seeking accreditation. It provides a rigorous framework across nine criteria, focusing on outcome-based education, faculty quality, and institutional governance. This document ensures that institutions can systematically document their academic and research activities, ultimately leading to improved quality and global recognition of their engineering programs.</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The institution acknowledges the National Board of Accreditation for providing this comprehensive framework to guide the quality assurance process.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2026-08-06T06:46:08.756Z</dcterms:created>
  <dcterms:modified xsi:type="dcterms:W3CDTF">2026-08-06T06:46:08.756Z</dcterms:modified>
</cp:coreProperties>
</file>

<file path=docProps/custom.xml><?xml version="1.0" encoding="utf-8"?>
<Properties xmlns="http://schemas.openxmlformats.org/officeDocument/2006/custom-properties" xmlns:vt="http://schemas.openxmlformats.org/officeDocument/2006/docPropsVTypes"/>
</file>