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víos-parciales"/>
    <w:p>
      <w:pPr>
        <w:pStyle w:val="Heading1"/>
      </w:pPr>
      <w:r>
        <w:t xml:space="preserve">Envíos parciales</w:t>
      </w:r>
    </w:p>
    <w:p>
      <w:pPr>
        <w:pStyle w:val="FirstParagraph"/>
      </w:pPr>
      <w:r>
        <w:rPr>
          <w:b/>
          <w:bCs/>
        </w:rPr>
        <w:t xml:space="preserve">Descripción general</w:t>
      </w:r>
    </w:p>
    <w:p>
      <w:pPr>
        <w:pStyle w:val="BodyText"/>
      </w:pPr>
      <w:r>
        <w:t xml:space="preserve">La ventana de Envíos Parciales es idéntica a la de Empaquetar, con la diferencia de que aquí podremos acceder a continuar con la nota de entrega de aquellos pedidos de compra en los cuales hemos confirmado previamente en el apartado</w:t>
      </w:r>
      <w:r>
        <w:t xml:space="preserve"> </w:t>
      </w:r>
      <w:r>
        <w:t xml:space="preserve">“Empaquetar”</w:t>
      </w:r>
      <w:r>
        <w:t xml:space="preserve"> </w:t>
      </w:r>
      <w:r>
        <w:t xml:space="preserve">sólo algunas de las posiciones.</w:t>
      </w:r>
    </w:p>
    <w:p>
      <w:pPr>
        <w:pStyle w:val="BodyText"/>
      </w:pPr>
      <w:r>
        <w:rPr>
          <w:b/>
          <w:bCs/>
        </w:rPr>
        <w:t xml:space="preserve">Funcionalidades principales</w:t>
      </w:r>
    </w:p>
    <w:bookmarkStart w:id="23" w:name="embalaje-actual"/>
    <w:p>
      <w:pPr>
        <w:pStyle w:val="Heading2"/>
      </w:pPr>
      <w:r>
        <w:t xml:space="preserve">Embalaje actual</w:t>
      </w:r>
    </w:p>
    <w:p>
      <w:pPr>
        <w:pStyle w:val="FirstParagraph"/>
      </w:pPr>
      <w:r>
        <w:t xml:space="preserve">El funcionamiento de esta pestaña es exactamente igual al explicado en el punto anterior.</w:t>
      </w:r>
    </w:p>
    <w:p>
      <w:pPr>
        <w:pStyle w:val="CaptionedFigure"/>
      </w:pPr>
      <w:r>
        <w:drawing>
          <wp:inline>
            <wp:extent cx="5334000" cy="2397221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images/orderPendantPartialEnvy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3"/>
    <w:bookmarkStart w:id="27" w:name="embalaje-previo"/>
    <w:p>
      <w:pPr>
        <w:pStyle w:val="Heading2"/>
      </w:pPr>
      <w:r>
        <w:t xml:space="preserve">Embalaje previo</w:t>
      </w:r>
    </w:p>
    <w:p>
      <w:pPr>
        <w:pStyle w:val="FirstParagraph"/>
      </w:pPr>
      <w:r>
        <w:t xml:space="preserve">En la sección de embalaje previo se muestra lo que ya se ha empaquetado de ese pedido, y la cantidad que muestra en embalaje actual es la cantidad pendiente, es decir, que para una posición del pedido la cantidad total sería la de embalaje actual + embalaje previo, pero el sistema las separa.</w:t>
      </w:r>
    </w:p>
    <w:p>
      <w:pPr>
        <w:pStyle w:val="CaptionedFigure"/>
      </w:pPr>
      <w:r>
        <w:drawing>
          <wp:inline>
            <wp:extent cx="4812631" cy="3080084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images/orderPreviousPendantEnvy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7"/>
    <w:bookmarkStart w:id="28" w:name="preguntas-frecuentes"/>
    <w:p>
      <w:pPr>
        <w:pStyle w:val="Heading2"/>
      </w:pPr>
      <w:r>
        <w:t xml:space="preserve">Preguntas frecuentes</w:t>
      </w:r>
    </w:p>
    <w:p>
      <w:pPr>
        <w:pStyle w:val="FirstParagraph"/>
      </w:pPr>
      <w:r>
        <w:t xml:space="preserve">¿Qué información muestra el listado de órdenes de pedidos?</w:t>
      </w:r>
    </w:p>
    <w:p>
      <w:pPr>
        <w:pStyle w:val="BodyText"/>
      </w:pPr>
      <w:r>
        <w:t xml:space="preserve">El listado de órdenes de pedidos muestra las siguientes columnas clave:</w:t>
      </w:r>
    </w:p>
    <w:p>
      <w:pPr>
        <w:pStyle w:val="Compact"/>
        <w:numPr>
          <w:ilvl w:val="0"/>
          <w:numId w:val="1001"/>
        </w:numPr>
      </w:pPr>
      <w:r>
        <w:t xml:space="preserve">Número de Orden: Identificador único del pedido.</w:t>
      </w:r>
    </w:p>
    <w:p>
      <w:pPr>
        <w:pStyle w:val="Compact"/>
        <w:numPr>
          <w:ilvl w:val="0"/>
          <w:numId w:val="1001"/>
        </w:numPr>
      </w:pPr>
      <w:r>
        <w:t xml:space="preserve">Dirección de envío: Destino asociado a la orden.</w:t>
      </w:r>
    </w:p>
    <w:p>
      <w:pPr>
        <w:pStyle w:val="Compact"/>
        <w:numPr>
          <w:ilvl w:val="0"/>
          <w:numId w:val="1001"/>
        </w:numPr>
      </w:pPr>
      <w:r>
        <w:t xml:space="preserve">Cajas: número de cajas contenidas en el pedido.</w:t>
      </w:r>
    </w:p>
    <w:p>
      <w:pPr>
        <w:pStyle w:val="Compact"/>
        <w:numPr>
          <w:ilvl w:val="0"/>
          <w:numId w:val="1001"/>
        </w:numPr>
      </w:pPr>
      <w:r>
        <w:t xml:space="preserve">Opciones: cada orden de pedido en el listado incluye un botón Nota de Entrega. Al presionar este botón, el usuario es redirigido a una nueva pestaña para gestionar los embalajes asociados a la orden seleccionada.</w:t>
      </w:r>
    </w:p>
    <w:p>
      <w:pPr>
        <w:pStyle w:val="FirstParagraph"/>
      </w:pPr>
      <w:r>
        <w:t xml:space="preserve">¿Cómo puedo buscar un pedido específico?</w:t>
      </w:r>
    </w:p>
    <w:p>
      <w:pPr>
        <w:pStyle w:val="BodyText"/>
      </w:pPr>
      <w:r>
        <w:t xml:space="preserve">Puedes usar el buscador ubicado en la parte superior de la ventana:</w:t>
      </w:r>
    </w:p>
    <w:p>
      <w:pPr>
        <w:pStyle w:val="BodyText"/>
      </w:pPr>
      <w:r>
        <w:t xml:space="preserve">Ingresa el Número de Orden o la Dirección de Envío en los campos correspondientes.</w:t>
      </w:r>
      <w:r>
        <w:t xml:space="preserve"> </w:t>
      </w:r>
      <w:r>
        <w:t xml:space="preserve">Haz clic en el botón Actualizar para filtrar los resultados.</w:t>
      </w:r>
      <w:r>
        <w:t xml:space="preserve"> </w:t>
      </w:r>
      <w:r>
        <w:t xml:space="preserve">Si deseas limpiar los campos de búsqueda, utiliza el botón Limpiar.</w:t>
      </w:r>
    </w:p>
    <w:p>
      <w:pPr>
        <w:pStyle w:val="BodyText"/>
      </w:pPr>
      <w:r>
        <w:t xml:space="preserve">¿Qué hace el botón</w:t>
      </w:r>
      <w:r>
        <w:t xml:space="preserve"> </w:t>
      </w:r>
      <w:r>
        <w:t xml:space="preserve">“Nota de Entrega”</w:t>
      </w:r>
      <w:r>
        <w:t xml:space="preserve">?</w:t>
      </w:r>
    </w:p>
    <w:p>
      <w:pPr>
        <w:pStyle w:val="BodyText"/>
      </w:pPr>
      <w:r>
        <w:t xml:space="preserve">El botón Nota de Entrega redirige a una nueva pestaña donde puedes:</w:t>
      </w:r>
    </w:p>
    <w:p>
      <w:pPr>
        <w:pStyle w:val="BodyText"/>
      </w:pPr>
      <w:r>
        <w:t xml:space="preserve">Consulte los embalajes asociados al pedido seleccionado.</w:t>
      </w:r>
      <w:r>
        <w:t xml:space="preserve"> </w:t>
      </w:r>
      <w:r>
        <w:t xml:space="preserve">Utilizar un buscador adicional para localizar embalajes por:</w:t>
      </w:r>
      <w:r>
        <w:t xml:space="preserve"> </w:t>
      </w:r>
      <w:r>
        <w:t xml:space="preserve">- Nombre o Código</w:t>
      </w:r>
      <w:r>
        <w:t xml:space="preserve"> </w:t>
      </w:r>
      <w:r>
        <w:t xml:space="preserve">- Fecha de envío</w:t>
      </w:r>
      <w:r>
        <w:t xml:space="preserve"> </w:t>
      </w:r>
      <w:r>
        <w:t xml:space="preserve">- Visualice un listado con los embalajes y sus detalles específicos.</w:t>
      </w:r>
    </w:p>
    <w:p>
      <w:pPr>
        <w:pStyle w:val="BodyText"/>
      </w:pPr>
      <w:r>
        <w:t xml:space="preserve">¿Qué información muestra el listado de embalajes?</w:t>
      </w:r>
    </w:p>
    <w:p>
      <w:pPr>
        <w:pStyle w:val="BodyText"/>
      </w:pPr>
      <w:r>
        <w:t xml:space="preserve">El listado de embalajes incluye:</w:t>
      </w:r>
    </w:p>
    <w:p>
      <w:pPr>
        <w:pStyle w:val="BodyText"/>
      </w:pPr>
      <w:r>
        <w:t xml:space="preserve">Nombre o Código del Embalaje: Identificador único del embalaje.</w:t>
      </w:r>
      <w:r>
        <w:t xml:space="preserve"> </w:t>
      </w:r>
      <w:r>
        <w:t xml:space="preserve">Fecha de envío: Fecha en la que se procesó o se programó el envío del embalaje.</w:t>
      </w:r>
      <w:r>
        <w:t xml:space="preserve"> </w:t>
      </w:r>
      <w:r>
        <w:t xml:space="preserve">Detalles adicionales: Otros datos relevantes.</w:t>
      </w:r>
    </w:p>
    <w:p>
      <w:pPr>
        <w:pStyle w:val="BodyText"/>
      </w:pPr>
      <w:r>
        <w:t xml:space="preserve">¿Cómo sé si un pedido está parcialmente enviado?</w:t>
      </w:r>
    </w:p>
    <w:p>
      <w:pPr>
        <w:pStyle w:val="BodyText"/>
      </w:pPr>
      <w:r>
        <w:t xml:space="preserve">En el listado principal, los pedidos mostrados en el apartado Envíos Parciales corresponden únicamente a aquellos que no han sido enviados completamente. Cada pedido en esta sección tiene asociado un estado de</w:t>
      </w:r>
      <w:r>
        <w:t xml:space="preserve"> </w:t>
      </w:r>
      <w:r>
        <w:t xml:space="preserve">“Parcial”</w:t>
      </w:r>
      <w:r>
        <w:t xml:space="preserve">.</w:t>
      </w:r>
    </w:p>
    <w:p>
      <w:pPr>
        <w:pStyle w:val="BodyText"/>
      </w:pPr>
      <w:r>
        <w:t xml:space="preserve">¿Qué hacer si un pedido no aparece en el listado?</w:t>
      </w:r>
    </w:p>
    <w:p>
      <w:pPr>
        <w:pStyle w:val="BodyText"/>
      </w:pPr>
      <w:r>
        <w:t xml:space="preserve">Si no aparece un pedido:</w:t>
      </w:r>
    </w:p>
    <w:p>
      <w:pPr>
        <w:pStyle w:val="BodyText"/>
      </w:pPr>
      <w:r>
        <w:t xml:space="preserve">Verifica que hayas ingresado los datos correctos en el buscador.</w:t>
      </w:r>
    </w:p>
    <w:p>
      <w:pPr>
        <w:pStyle w:val="BodyText"/>
      </w:pPr>
      <w:r>
        <w:t xml:space="preserve">Asegúrese de haber hecho clic en el botón Actualizar tras ingresar los criterios de búsqueda.</w:t>
      </w:r>
      <w:r>
        <w:t xml:space="preserve"> </w:t>
      </w:r>
      <w:r>
        <w:t xml:space="preserve">Si el problema persiste, contacte al administrador del sistema para verificar si el pedido ha sido completado o archivado.</w:t>
      </w:r>
    </w:p>
    <w:p>
      <w:pPr>
        <w:pStyle w:val="BodyText"/>
      </w:pPr>
      <w:r>
        <w:t xml:space="preserve">¿Cómo subir un archivo Excel propio al listado?</w:t>
      </w:r>
    </w:p>
    <w:p>
      <w:pPr>
        <w:pStyle w:val="BodyText"/>
      </w:pPr>
      <w:r>
        <w:t xml:space="preserve">Presione el botón Importar. Se desplegará una pantalla desde la cual podrá arrastrar su archivo dentro de la casilla central habilitada para tal efecto. O bien, dentro de esta misma pantalla, presione la pestaña Elegir Archivos para poder elegir el archivo deseado desde el navegador de archivos de su propio ordenador.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2025-03-05T15:50:10Z</dcterms:created>
  <dcterms:modified xsi:type="dcterms:W3CDTF">2025-03-05T15:50:10Z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