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ReportTitle"/>
      </w:pPr>
      <w:r>
        <w:t>二楼油箱盖旋拧近期工作报告</w:t>
      </w:r>
    </w:p>
    <w:p>
      <w:pPr>
        <w:pStyle w:val="ReportMeta"/>
      </w:pPr>
      <w:r>
        <w:t>2026年10月28日</w:t>
      </w:r>
    </w:p>
    <w:p>
      <w:pPr>
        <w:pStyle w:val="ReportBody"/>
      </w:pPr>
      <w:r>
        <w:t>近期工作主要围绕深度相机接入、实测点云处理、手部抓姿生成和路径规划仿真展开。本报告汇总已完成的工作，以及继续开展真机联调需要解决的问题。</w:t>
      </w:r>
    </w:p>
    <w:p>
      <w:pPr>
        <w:pStyle w:val="ReportHeading"/>
      </w:pPr>
      <w:r>
        <w:t>一、深度相机接入与点云采集</w:t>
      </w:r>
    </w:p>
    <w:p>
      <w:pPr>
        <w:pStyle w:val="ReportBody"/>
      </w:pPr>
      <w:r>
        <w:t>目前采用伟景提供的 VzNLSDK 连接深度相机。SDK 开发包包含 Windows、Linux 和 ARM 版本，当前采集程序使用其中的 Linux x64 库。下载的压缩包及解压后的目录如下。</w:t>
      </w:r>
    </w:p>
    <w:p>
      <w:pPr>
        <w:pStyle w:val="ReportImage"/>
        <w:keepNext/>
      </w:pPr>
      <w:r>
        <w:drawing>
          <wp:inline distT="0" distB="0" distL="0" distR="0" wp14:anchorId="530EE6A1" wp14:editId="7DB28421">
            <wp:extent cx="3787468" cy="541067"/>
            <wp:effectExtent l="0" t="0" r="3810" b="0"/>
            <wp:docPr id="18819213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9213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ReportCaption"/>
      </w:pPr>
      <w:r>
        <w:t>图1  SDK 压缩包</w:t>
      </w:r>
    </w:p>
    <w:p>
      <w:pPr>
        <w:pStyle w:val="ReportImage"/>
        <w:keepNext/>
      </w:pPr>
      <w:r>
        <w:drawing>
          <wp:inline distT="0" distB="0" distL="0" distR="0" wp14:anchorId="681FF1D3" wp14:editId="2C8D1694">
            <wp:extent cx="3040643" cy="167655"/>
            <wp:effectExtent l="0" t="0" r="7620" b="3810"/>
            <wp:docPr id="5047099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7099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0643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ReportCaption"/>
      </w:pPr>
      <w:r>
        <w:t>图2  解压后的 SDK 开发包目录</w:t>
      </w:r>
    </w:p>
    <w:p>
      <w:pPr>
        <w:pStyle w:val="ReportBody"/>
      </w:pPr>
      <w:r>
        <w:t>已编写 C++ 采集程序，调用 SDK 的设备连接和静态扫描接口，接收相机返回的三维点，并保存为 PCD 文件。采集时让左臂保持静止，同时记录采集前后的关节角和法兰位姿，便于后续将点云转换到机器人坐标系。</w:t>
      </w:r>
    </w:p>
    <w:p>
      <w:pPr>
        <w:pStyle w:val="ReportImage"/>
        <w:keepNext/>
      </w:pPr>
      <w:r>
        <w:drawing>
          <wp:inline distT="0" distB="0" distL="0" distR="0" wp14:anchorId="39EFCE12" wp14:editId="3FC14B13">
            <wp:extent cx="2766300" cy="914479"/>
            <wp:effectExtent l="0" t="0" r="0" b="0"/>
            <wp:docPr id="1897250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250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ReportCaption"/>
      </w:pPr>
      <w:r>
        <w:t>图3  采集程序使用的 SDK 头文件</w:t>
      </w:r>
    </w:p>
    <w:p>
      <w:pPr>
        <w:pStyle w:val="ReportHeading"/>
      </w:pPr>
      <w:r>
        <w:t>二、点云处理与抓姿生成</w:t>
      </w:r>
    </w:p>
    <w:p>
      <w:pPr>
        <w:pStyle w:val="ReportBody"/>
      </w:pPr>
      <w:r>
        <w:t>一次静态扫描共获得 268,852 个点，约26.9万个点。下图按深度进行伪彩色显示，其中红色单独标记手动选出的油箱盖点云。</w:t>
      </w:r>
    </w:p>
    <w:p>
      <w:pPr>
        <w:pStyle w:val="ReportImage"/>
        <w:keepNext/>
      </w:pPr>
      <w:r>
        <w:drawing>
          <wp:inline distT="0" distB="0" distL="0" distR="0" wp14:anchorId="0FB981C7" wp14:editId="5AB46790">
            <wp:extent cx="3481454" cy="4206240"/>
            <wp:effectExtent l="0" t="0" r="3810" b="7620"/>
            <wp:docPr id="5180520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0520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1454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ReportCaption"/>
      </w:pPr>
      <w:r>
        <w:t>图4  采集得到的点云及手动选出的油箱盖区域</w:t>
      </w:r>
    </w:p>
    <w:p>
      <w:pPr>
        <w:pStyle w:val="ReportBody"/>
      </w:pPr>
      <w:r>
        <w:t>点云中的油箱门外轮廓清晰可辨，可用于观察盖体、门板和开口边缘之间的位置关系。</w:t>
      </w:r>
    </w:p>
    <w:p>
      <w:pPr>
        <w:pStyle w:val="ReportImage"/>
        <w:keepNext/>
      </w:pPr>
      <w:r>
        <w:drawing>
          <wp:inline distT="0" distB="0" distL="0" distR="0" wp14:anchorId="043F8C34" wp14:editId="3330FBA2">
            <wp:extent cx="3215640" cy="2697480"/>
            <wp:effectExtent l="0" t="0" r="3810" b="7620"/>
            <wp:docPr id="20659478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564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ReportCaption"/>
      </w:pPr>
      <w:r>
        <w:t>图5  油箱门及周边区域的点云</w:t>
      </w:r>
    </w:p>
    <w:p>
      <w:pPr>
        <w:pStyle w:val="ReportBody"/>
      </w:pPr>
      <w:r>
        <w:t>目前可通过手动框选提取盖体区域，继续开展几何分析和抓姿验证。自动分割还需进一步核对图像与点云的对应关系，并与厂商沟通相关接口的支持情况。</w:t>
      </w:r>
    </w:p>
    <w:p>
      <w:pPr>
        <w:pStyle w:val="ReportBody"/>
      </w:pPr>
      <w:r>
        <w:t>根据盖体和握梁的位置，已生成两个绕盖轴相差180°的手部抓姿，分别记为0°和180°，用于比较不同接近方向的可行性。</w:t>
      </w:r>
    </w:p>
    <w:p>
      <w:pPr>
        <w:pStyle w:val="ReportImage"/>
        <w:keepNext/>
      </w:pPr>
      <w:r>
        <w:drawing>
          <wp:inline distT="0" distB="0" distL="0" distR="0" wp14:anchorId="37B4995E" wp14:editId="266C7A33">
            <wp:extent cx="4754880" cy="3385306"/>
            <wp:effectExtent l="0" t="0" r="3810" b="3810"/>
            <wp:docPr id="5671231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1231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385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ReportCaption"/>
      </w:pPr>
      <w:r>
        <w:t>图6  0°方向的手部抓姿</w:t>
      </w:r>
    </w:p>
    <w:p>
      <w:pPr>
        <w:pStyle w:val="ReportImage"/>
        <w:keepNext/>
      </w:pPr>
      <w:r>
        <w:drawing>
          <wp:inline distT="0" distB="0" distL="0" distR="0" wp14:anchorId="73057D73" wp14:editId="34AAA056">
            <wp:extent cx="4618120" cy="3741744"/>
            <wp:effectExtent l="0" t="0" r="0" b="0"/>
            <wp:docPr id="17620137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0137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374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ReportCaption"/>
      </w:pPr>
      <w:r>
        <w:t>图7  180°方向的手部抓姿</w:t>
      </w:r>
    </w:p>
    <w:p>
      <w:pPr>
        <w:pStyle w:val="ReportHeading"/>
      </w:pPr>
      <w:r>
        <w:t>三、体素建模与路径规划仿真</w:t>
      </w:r>
    </w:p>
    <w:p>
      <w:pPr>
        <w:pStyle w:val="ReportBody"/>
      </w:pPr>
      <w:r>
        <w:t>已将清理后的点云转换为边长2 mm的三维体素，即用小方格表示已观测到的物体表面，并用于构建 MoveIt 的碰撞场景。下图展示了整体场景、盖体区域和体素细节。</w:t>
      </w:r>
    </w:p>
    <w:p>
      <w:pPr>
        <w:pStyle w:val="ReportImage"/>
        <w:keepNext/>
      </w:pPr>
      <w:r>
        <w:drawing>
          <wp:inline distT="0" distB="0" distL="0" distR="0" wp14:anchorId="09A141C7" wp14:editId="7CCBE23D">
            <wp:extent cx="6120130" cy="1593850"/>
            <wp:effectExtent l="0" t="0" r="0" b="6350"/>
            <wp:docPr id="121091963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59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ReportCaption"/>
      </w:pPr>
      <w:r>
        <w:t>图8  点云的2 mm体素表示</w:t>
      </w:r>
    </w:p>
    <w:p>
      <w:pPr>
        <w:pStyle w:val="ReportBody"/>
      </w:pPr>
      <w:r>
        <w:t>已在上述场景基础上开展初步路径规划仿真。左臂姿态采用采集时的真实记录，油箱和油箱盖的场景信息来自实测点云。相关仿真视频另行展示，真机抓握和旋拧仍待后续验证。</w:t>
      </w:r>
    </w:p>
    <w:p>
      <w:pPr>
        <w:pStyle w:val="ReportHeading"/>
      </w:pPr>
      <w:r>
        <w:t>四、目前问题与需协调事项</w:t>
      </w:r>
    </w:p>
    <w:p>
      <w:pPr>
        <w:pStyle w:val="ReportSubheading"/>
      </w:pPr>
      <w:r>
        <w:t>1. 右臂上电失败</w:t>
      </w:r>
    </w:p>
    <w:p>
      <w:pPr>
        <w:pStyle w:val="ReportBody"/>
      </w:pPr>
      <w:r>
        <w:t>目前在 ARCS 中对右臂执行上电操作时，系统提示“上电失败”，尚未完成上电。该问题需要优先排查，以便继续开展右臂真机联调。</w:t>
      </w:r>
    </w:p>
    <w:p>
      <w:pPr>
        <w:pStyle w:val="ReportSubheading"/>
      </w:pPr>
      <w:r>
        <w:t>2. 右臂基座位置仍需核对</w:t>
      </w:r>
    </w:p>
    <w:p>
      <w:pPr>
        <w:pStyle w:val="ReportBody"/>
      </w:pPr>
      <w:r>
        <w:t>当前模型中右臂基座的位置与实际安装是否一致，仍需现场核对。右臂暂时无法上电，也尚未结合其控制器反馈完成进一步检查。下图左侧为拍照臂，右侧为旋拧臂。</w:t>
      </w:r>
    </w:p>
    <w:p>
      <w:pPr>
        <w:pStyle w:val="ReportImage"/>
        <w:keepNext/>
      </w:pPr>
      <w:r>
        <w:drawing>
          <wp:inline distT="0" distB="0" distL="0" distR="0" wp14:anchorId="5B5A1F80" wp14:editId="2B776B43">
            <wp:extent cx="4754880" cy="3255907"/>
            <wp:effectExtent l="0" t="0" r="3810" b="3810"/>
            <wp:docPr id="2828188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8188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255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ReportCaption"/>
      </w:pPr>
      <w:r>
        <w:t>图9  双臂模型及基座位置示意</w:t>
      </w:r>
    </w:p>
    <w:p>
      <w:pPr>
        <w:pStyle w:val="ReportSubheading"/>
      </w:pPr>
      <w:r>
        <w:t>3. 相机视野遮挡与末端安装安排</w:t>
      </w:r>
    </w:p>
    <w:p>
      <w:pPr>
        <w:pStyle w:val="ReportBody"/>
      </w:pPr>
      <w:r>
        <w:t>左臂现有装具和加油枪会遮挡相机视野，前述展示点云已手动删除这部分物体对应的点。需请示相关装具和加油枪是否可以拆除，并确认右臂 RH56 灵巧手的安装安排。</w:t>
      </w:r>
    </w:p>
    <w:p>
      <w:pPr>
        <w:pStyle w:val="ReportSubheading"/>
      </w:pPr>
      <w:r>
        <w:t>4. 力传感器尚未接入</w:t>
      </w:r>
    </w:p>
    <w:p>
      <w:pPr>
        <w:pStyle w:val="ReportBody"/>
      </w:pPr>
      <w:r>
        <w:t>现阶段的点云处理和无接触路径联调暂不依赖力反馈，可先推进上述工作，再完成力传感器接入，为后续接触和旋拧控制做准备。</w:t>
      </w:r>
    </w:p>
    <w:p>
      <w:pPr>
        <w:pStyle w:val="ReportSubheading"/>
      </w:pPr>
      <w:r>
        <w:t>5. 确认急停按钮及操作方式</w:t>
      </w:r>
    </w:p>
    <w:p>
      <w:pPr>
        <w:pStyle w:val="ReportBody"/>
      </w:pPr>
      <w:r>
        <w:t>开展真机运动测试前，需请您协助确认急停按钮的位置、操作方式及可停止的设备范围，以便提前做好操作准备。</w:t>
      </w:r>
    </w:p>
    <w:sectPr w:rsidR="00944CCF">
      <w:pgSz w:w="11906" w:h="16838"/>
      <w:pgMar w:top="1134" w:right="1134" w:bottom="1134" w:left="1134" w:header="500" w:footer="5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roman"/>
    <w:notTrueType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23287"/>
    <w:multiLevelType w:val="hybridMultilevel"/>
    <w:tmpl w:val="D42EA2E6"/>
    <w:lvl w:ilvl="0" w:tplc="C19C2DF0">
      <w:start w:val="1"/>
      <w:numFmt w:val="decimal"/>
      <w:lvlText w:val="%1."/>
      <w:lvlJc w:val="left"/>
      <w:pPr>
        <w:ind w:left="276" w:hanging="27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DF17E9D"/>
    <w:multiLevelType w:val="hybridMultilevel"/>
    <w:tmpl w:val="DC5EA896"/>
    <w:lvl w:ilvl="0" w:tplc="0360FD2A">
      <w:start w:val="1"/>
      <w:numFmt w:val="decimal"/>
      <w:lvlText w:val="%1."/>
      <w:lvlJc w:val="left"/>
      <w:pPr>
        <w:ind w:left="480" w:hanging="20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56" w:hanging="440"/>
      </w:pPr>
    </w:lvl>
    <w:lvl w:ilvl="2" w:tplc="0409001B" w:tentative="1">
      <w:start w:val="1"/>
      <w:numFmt w:val="lowerRoman"/>
      <w:lvlText w:val="%3."/>
      <w:lvlJc w:val="right"/>
      <w:pPr>
        <w:ind w:left="1596" w:hanging="440"/>
      </w:pPr>
    </w:lvl>
    <w:lvl w:ilvl="3" w:tplc="0409000F" w:tentative="1">
      <w:start w:val="1"/>
      <w:numFmt w:val="decimal"/>
      <w:lvlText w:val="%4."/>
      <w:lvlJc w:val="left"/>
      <w:pPr>
        <w:ind w:left="2036" w:hanging="440"/>
      </w:pPr>
    </w:lvl>
    <w:lvl w:ilvl="4" w:tplc="04090019" w:tentative="1">
      <w:start w:val="1"/>
      <w:numFmt w:val="lowerLetter"/>
      <w:lvlText w:val="%5)"/>
      <w:lvlJc w:val="left"/>
      <w:pPr>
        <w:ind w:left="2476" w:hanging="440"/>
      </w:pPr>
    </w:lvl>
    <w:lvl w:ilvl="5" w:tplc="0409001B" w:tentative="1">
      <w:start w:val="1"/>
      <w:numFmt w:val="lowerRoman"/>
      <w:lvlText w:val="%6."/>
      <w:lvlJc w:val="right"/>
      <w:pPr>
        <w:ind w:left="2916" w:hanging="440"/>
      </w:pPr>
    </w:lvl>
    <w:lvl w:ilvl="6" w:tplc="0409000F" w:tentative="1">
      <w:start w:val="1"/>
      <w:numFmt w:val="decimal"/>
      <w:lvlText w:val="%7."/>
      <w:lvlJc w:val="left"/>
      <w:pPr>
        <w:ind w:left="3356" w:hanging="440"/>
      </w:pPr>
    </w:lvl>
    <w:lvl w:ilvl="7" w:tplc="04090019" w:tentative="1">
      <w:start w:val="1"/>
      <w:numFmt w:val="lowerLetter"/>
      <w:lvlText w:val="%8)"/>
      <w:lvlJc w:val="left"/>
      <w:pPr>
        <w:ind w:left="3796" w:hanging="440"/>
      </w:pPr>
    </w:lvl>
    <w:lvl w:ilvl="8" w:tplc="0409001B" w:tentative="1">
      <w:start w:val="1"/>
      <w:numFmt w:val="lowerRoman"/>
      <w:lvlText w:val="%9."/>
      <w:lvlJc w:val="right"/>
      <w:pPr>
        <w:ind w:left="4236" w:hanging="440"/>
      </w:pPr>
    </w:lvl>
  </w:abstractNum>
  <w:num w:numId="1" w16cid:durableId="1129518723">
    <w:abstractNumId w:val="0"/>
  </w:num>
  <w:num w:numId="2" w16cid:durableId="12918652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F49"/>
    <w:rsid w:val="001D6314"/>
    <w:rsid w:val="0039128B"/>
    <w:rsid w:val="003D03B7"/>
    <w:rsid w:val="004D02B8"/>
    <w:rsid w:val="004F01BB"/>
    <w:rsid w:val="00504669"/>
    <w:rsid w:val="005B2B57"/>
    <w:rsid w:val="006823DE"/>
    <w:rsid w:val="00702AD5"/>
    <w:rsid w:val="007C13F3"/>
    <w:rsid w:val="008C57F8"/>
    <w:rsid w:val="00944CCF"/>
    <w:rsid w:val="00AE74B6"/>
    <w:rsid w:val="00B95ADF"/>
    <w:rsid w:val="00BC58ED"/>
    <w:rsid w:val="00C84631"/>
    <w:rsid w:val="00D320BF"/>
    <w:rsid w:val="00D8168D"/>
    <w:rsid w:val="00DC0C58"/>
    <w:rsid w:val="00E72C3B"/>
    <w:rsid w:val="00E90F49"/>
    <w:rsid w:val="00ED1BEC"/>
    <w:rsid w:val="00F54A4B"/>
    <w:rsid w:val="00F95BE3"/>
    <w:rsid w:val="00FC4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4DE07D"/>
  <w15:docId w15:val="{7C04F1E2-C583-47E9-92CC-2A02F8178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Times New Roman"/>
        <w:sz w:val="21"/>
        <w:szCs w:val="21"/>
        <w:lang w:val="zh-CN" w:eastAsia="zh-CN" w:bidi="ar-SA"/>
      </w:rPr>
    </w:rPrDefault>
    <w:pPrDefault>
      <w:pPr>
        <w:spacing w:after="100" w:line="2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uiPriority w:val="10"/>
    <w:qFormat/>
    <w:pPr>
      <w:keepNext/>
      <w:spacing w:before="200" w:after="140"/>
    </w:pPr>
    <w:rPr>
      <w:b/>
      <w:sz w:val="34"/>
      <w:szCs w:val="34"/>
    </w:rPr>
  </w:style>
  <w:style w:type="paragraph" w:customStyle="1" w:styleId="Heading1">
    <w:name w:val="Heading1"/>
    <w:basedOn w:val="a"/>
    <w:pPr>
      <w:keepNext/>
      <w:spacing w:before="200" w:after="140"/>
      <w:outlineLvl w:val="0"/>
    </w:pPr>
    <w:rPr>
      <w:b/>
      <w:sz w:val="26"/>
      <w:szCs w:val="26"/>
    </w:rPr>
  </w:style>
  <w:style w:type="paragraph" w:customStyle="1" w:styleId="Code">
    <w:name w:val="Code"/>
    <w:basedOn w:val="a"/>
    <w:pPr>
      <w:keepLines/>
      <w:shd w:val="clear" w:color="auto" w:fill="F3F4F6"/>
      <w:spacing w:before="60" w:after="120" w:line="240" w:lineRule="auto"/>
    </w:pPr>
    <w:rPr>
      <w:rFonts w:ascii="Consolas" w:eastAsia="微软雅黑" w:hAnsi="Consolas"/>
      <w:sz w:val="18"/>
      <w:szCs w:val="18"/>
    </w:rPr>
  </w:style>
  <w:style w:type="paragraph" w:customStyle="1" w:styleId="TableText">
    <w:name w:val="TableText"/>
    <w:basedOn w:val="a"/>
    <w:pPr>
      <w:spacing w:after="0" w:line="250" w:lineRule="auto"/>
    </w:pPr>
    <w:rPr>
      <w:sz w:val="19"/>
      <w:szCs w:val="19"/>
    </w:rPr>
  </w:style>
  <w:style w:type="paragraph" w:customStyle="1" w:styleId="TableGap">
    <w:name w:val="TableGap"/>
    <w:basedOn w:val="a"/>
    <w:pPr>
      <w:spacing w:after="0" w:line="80" w:lineRule="auto"/>
    </w:pPr>
    <w:rPr>
      <w:sz w:val="4"/>
      <w:szCs w:val="4"/>
    </w:rPr>
  </w:style>
  <w:style w:type="paragraph" w:customStyle="1" w:styleId="ReportTitle">
    <w:name w:val="报告标题"/>
    <w:basedOn w:val="a"/>
    <w:next w:val="ReportBody"/>
    <w:pPr>
      <w:keepNext/>
      <w:widowControl/>
      <w:spacing w:before="0" w:after="100" w:line="300" w:lineRule="auto"/>
      <w:ind w:left="0" w:right="0" w:firstLine="0"/>
      <w:jc w:val="center"/>
    </w:pPr>
    <w:rPr>
      <w:rFonts w:ascii="Calibri" w:hAnsi="Calibri" w:eastAsia="黑体" w:cs="Times New Roman"/>
      <w:b/>
      <w:sz w:val="34"/>
      <w:szCs w:val="34"/>
      <w:lang w:val="zh-CN" w:eastAsia="zh-CN"/>
    </w:rPr>
  </w:style>
  <w:style w:type="paragraph" w:customStyle="1" w:styleId="ReportMeta">
    <w:name w:val="报告日期"/>
    <w:basedOn w:val="a"/>
    <w:next w:val="ReportBody"/>
    <w:pPr>
      <w:widowControl/>
      <w:spacing w:before="0" w:after="200" w:line="260" w:lineRule="auto"/>
      <w:ind w:left="0" w:right="0" w:firstLine="0"/>
      <w:jc w:val="center"/>
    </w:pPr>
    <w:rPr>
      <w:rFonts w:ascii="Calibri" w:hAnsi="Calibri" w:eastAsia="宋体" w:cs="Times New Roman"/>
      <w:sz w:val="21"/>
      <w:szCs w:val="21"/>
      <w:lang w:val="zh-CN" w:eastAsia="zh-CN"/>
    </w:rPr>
  </w:style>
  <w:style w:type="paragraph" w:customStyle="1" w:styleId="ReportBody">
    <w:name w:val="报告正文"/>
    <w:basedOn w:val="a"/>
    <w:next w:val="ReportBody"/>
    <w:pPr>
      <w:widowControl/>
      <w:spacing w:before="0" w:after="100" w:line="320" w:lineRule="auto"/>
      <w:ind w:left="0" w:right="0" w:firstLine="0"/>
      <w:jc w:val="both"/>
    </w:pPr>
    <w:rPr>
      <w:rFonts w:ascii="Calibri" w:hAnsi="Calibri" w:eastAsia="宋体" w:cs="Times New Roman"/>
      <w:sz w:val="23"/>
      <w:szCs w:val="23"/>
      <w:lang w:val="zh-CN" w:eastAsia="zh-CN"/>
    </w:rPr>
  </w:style>
  <w:style w:type="paragraph" w:customStyle="1" w:styleId="ReportHeading">
    <w:name w:val="报告一级标题"/>
    <w:basedOn w:val="a"/>
    <w:next w:val="ReportBody"/>
    <w:pPr>
      <w:keepNext/>
      <w:widowControl/>
      <w:spacing w:before="220" w:after="140" w:line="300" w:lineRule="auto"/>
      <w:ind w:left="0" w:right="0" w:firstLine="0"/>
      <w:jc w:val="both"/>
      <w:outlineLvl w:val="0"/>
    </w:pPr>
    <w:rPr>
      <w:rFonts w:ascii="Calibri" w:hAnsi="Calibri" w:eastAsia="黑体" w:cs="Times New Roman"/>
      <w:b/>
      <w:sz w:val="28"/>
      <w:szCs w:val="28"/>
      <w:lang w:val="zh-CN" w:eastAsia="zh-CN"/>
    </w:rPr>
  </w:style>
  <w:style w:type="paragraph" w:customStyle="1" w:styleId="ReportSubheading">
    <w:name w:val="报告事项标题"/>
    <w:basedOn w:val="a"/>
    <w:next w:val="ReportBody"/>
    <w:pPr>
      <w:keepNext/>
      <w:widowControl/>
      <w:spacing w:before="140" w:after="60" w:line="280" w:lineRule="auto"/>
      <w:ind w:left="0" w:right="0" w:firstLine="0"/>
      <w:jc w:val="both"/>
      <w:outlineLvl w:val="1"/>
    </w:pPr>
    <w:rPr>
      <w:rFonts w:ascii="Calibri" w:hAnsi="Calibri" w:eastAsia="黑体" w:cs="Times New Roman"/>
      <w:b/>
      <w:sz w:val="24"/>
      <w:szCs w:val="24"/>
      <w:lang w:val="zh-CN" w:eastAsia="zh-CN"/>
    </w:rPr>
  </w:style>
  <w:style w:type="paragraph" w:customStyle="1" w:styleId="ReportImage">
    <w:name w:val="报告图片"/>
    <w:basedOn w:val="a"/>
    <w:next w:val="ReportBody"/>
    <w:pPr>
      <w:widowControl/>
      <w:spacing w:before="60" w:after="40" w:line="240" w:lineRule="auto"/>
      <w:ind w:left="0" w:right="0" w:firstLine="0"/>
      <w:jc w:val="center"/>
    </w:pPr>
    <w:rPr>
      <w:rFonts w:ascii="Calibri" w:hAnsi="Calibri" w:eastAsia="宋体" w:cs="Times New Roman"/>
      <w:sz w:val="22"/>
      <w:szCs w:val="22"/>
      <w:lang w:val="zh-CN" w:eastAsia="zh-CN"/>
    </w:rPr>
  </w:style>
  <w:style w:type="paragraph" w:customStyle="1" w:styleId="ReportCaption">
    <w:name w:val="报告图注"/>
    <w:basedOn w:val="a"/>
    <w:next w:val="ReportBody"/>
    <w:pPr>
      <w:widowControl/>
      <w:spacing w:before="0" w:after="140" w:line="260" w:lineRule="auto"/>
      <w:ind w:left="0" w:right="0" w:firstLine="0"/>
      <w:jc w:val="center"/>
    </w:pPr>
    <w:rPr>
      <w:rFonts w:ascii="Calibri" w:hAnsi="Calibri" w:eastAsia="宋体" w:cs="Times New Roman"/>
      <w:sz w:val="20"/>
      <w:szCs w:val="20"/>
      <w:lang w:val="zh-CN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5</Pages>
  <Words>310</Words>
  <Characters>310</Characters>
  <Application>Microsoft Office Word</Application>
  <DocSecurity>0</DocSecurity>
  <Lines>20</Lines>
  <Paragraphs>26</Paragraphs>
  <ScaleCrop>false</ScaleCrop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二楼油箱盖旋拧近期工作报告</dc:title>
  <dc:subject>网线连接、WSL 终端查询、源码位置、数据采集与整理</dc:subject>
  <dc:creator>JiaQi wang</dc:creator>
  <cp:lastModifiedBy>jq w</cp:lastModifiedBy>
  <cp:revision>4</cp:revision>
  <dcterms:created xsi:type="dcterms:W3CDTF">2026-10-28T06:07:00Z</dcterms:created>
  <dcterms:modified xsi:type="dcterms:W3CDTF">2026-10-28T07:09:28Z</dcterms:modified>
</cp:coreProperties>
</file>