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202A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Likely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Okrs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and white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papers .</w:t>
      </w:r>
      <w:proofErr w:type="gramEnd"/>
    </w:p>
    <w:p w14:paraId="465D30F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2C3B3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PART 1 — Space BD Lead OKRs (Radiant)</w:t>
      </w:r>
    </w:p>
    <w:p w14:paraId="3BE86B6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6CE74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These assume Phase-0 / Phase-1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positioning: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shaping missions, winning early studies, and becoming unavoidable before flight programs exist.</w:t>
      </w:r>
    </w:p>
    <w:p w14:paraId="12F21C2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D2F2AA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584601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2677CA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Objective 1 — Insert Radiant Into NASA/DoD Space-Power Architectures</w:t>
      </w:r>
    </w:p>
    <w:p w14:paraId="572680F0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2D68B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If you’re not in their early concept docs, you don’t exist later.</w:t>
      </w:r>
    </w:p>
    <w:p w14:paraId="1816B95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D1843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Key Results</w:t>
      </w:r>
    </w:p>
    <w:p w14:paraId="12C9251E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Meet with 12+ NASA lunar / surface-power officials</w:t>
      </w:r>
    </w:p>
    <w:p w14:paraId="49A1B72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Meet with 8+ DoD / Space Force power offices</w:t>
      </w:r>
    </w:p>
    <w:p w14:paraId="5BFC496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Attend or present at 3 industry days or workshops</w:t>
      </w:r>
    </w:p>
    <w:p w14:paraId="7898E66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Be referenced (even anonymously) in ≥2 agency concept studies</w:t>
      </w:r>
    </w:p>
    <w:p w14:paraId="1CCB220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Get invited to at least one closed technical working group</w:t>
      </w:r>
    </w:p>
    <w:p w14:paraId="37E4697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0AFB42E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FA0256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DC787F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2AB87E6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2D6F810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Objective 2 — Win Early Government Study Contracts</w:t>
      </w:r>
    </w:p>
    <w:p w14:paraId="0BF736D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5FF6BF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Paid paper → future hardware.</w:t>
      </w:r>
    </w:p>
    <w:p w14:paraId="52DE94E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0024D5F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Key Results</w:t>
      </w:r>
    </w:p>
    <w:p w14:paraId="335F1EA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Submit ≥6 RFIs / white papers</w:t>
      </w:r>
    </w:p>
    <w:p w14:paraId="632726F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Submit ≥3 SBIR / BAA proposals</w:t>
      </w:r>
    </w:p>
    <w:p w14:paraId="700F6E3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Win ≥1 Phase-I or study award</w:t>
      </w:r>
    </w:p>
    <w:p w14:paraId="1B04C1B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Be named on ≥2 prime-led concept submissions</w:t>
      </w:r>
    </w:p>
    <w:p w14:paraId="2088AC7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Secure ≥1 DOE lab partnership letter</w:t>
      </w:r>
    </w:p>
    <w:p w14:paraId="364C943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2DFC78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DF7021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187AC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E2B349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8DF20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Objective 3 — Establish Radiant as the Reactor OEM for Space</w:t>
      </w:r>
    </w:p>
    <w:p w14:paraId="1289E62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4F658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Positioning matters more than size early.</w:t>
      </w:r>
    </w:p>
    <w:p w14:paraId="33F77D9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89A83A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Key Results</w:t>
      </w:r>
    </w:p>
    <w:p w14:paraId="1ABA013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Publish a “Radiant Space Variant” internal concept package</w:t>
      </w:r>
    </w:p>
    <w:p w14:paraId="6CCDDA3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Produce 3 technical briefing decks for agencies</w:t>
      </w:r>
    </w:p>
    <w:p w14:paraId="30389EF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Execute 2 MOUs with aerospace primes</w:t>
      </w:r>
    </w:p>
    <w:p w14:paraId="0737F5E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Lead the reactor section of at least one OTA proposal</w:t>
      </w:r>
    </w:p>
    <w:p w14:paraId="08E155E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Receive inbound teaming requests from ≥3 primes</w:t>
      </w:r>
    </w:p>
    <w:p w14:paraId="47A9D84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DB400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B34791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716C080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EE3B11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0E6B5F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Objective 4 — Shape the Acquisition Path Toward OTAs</w:t>
      </w:r>
    </w:p>
    <w:p w14:paraId="4439DA1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A6FFE7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Keeps startups competitive.</w:t>
      </w:r>
    </w:p>
    <w:p w14:paraId="35811FF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B4751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Key Results</w:t>
      </w:r>
    </w:p>
    <w:p w14:paraId="66FCC0D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Advocate phased OTA structures in ≥5 agency meetings</w:t>
      </w:r>
    </w:p>
    <w:p w14:paraId="097E7E2E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Get OTA language mirrored in at least one draft solicitation</w:t>
      </w:r>
    </w:p>
    <w:p w14:paraId="54BB532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Be asked for feedback on acquisition strategy by a PM office</w:t>
      </w:r>
    </w:p>
    <w:p w14:paraId="31729C1F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Influence power-level assumptions into Radiant-friendly ranges (40–200 kW)</w:t>
      </w:r>
    </w:p>
    <w:p w14:paraId="14DC22A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2984B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3FD5D8A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E4FC3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30ABE43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5F6BA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Objective 5 — Build Long-Term Political &amp; Lab Capital</w:t>
      </w:r>
    </w:p>
    <w:p w14:paraId="60B18C5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661683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Why: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Nuclear + space = politics.</w:t>
      </w:r>
    </w:p>
    <w:p w14:paraId="31E8609F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CF8EA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Key Results</w:t>
      </w:r>
    </w:p>
    <w:p w14:paraId="47A05CCE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Establish recurring contact with 5 Congressional staffers (via primes)</w:t>
      </w:r>
    </w:p>
    <w:p w14:paraId="6E15374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Secure 2 national-lab CRADAs or MOUs</w:t>
      </w:r>
    </w:p>
    <w:p w14:paraId="3EF5B27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Participate in 2 policy roundtables</w:t>
      </w:r>
    </w:p>
    <w:p w14:paraId="72CBA69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Be cited in at least one think-tank or advisory report</w:t>
      </w:r>
    </w:p>
    <w:p w14:paraId="09C2CD4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497E7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B84C5F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FAB537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2AAD178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6C6B1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What a “Winning Quarter” Looks Like</w:t>
      </w:r>
    </w:p>
    <w:p w14:paraId="53550B0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95C65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If your OKRs are on track:</w:t>
      </w:r>
    </w:p>
    <w:p w14:paraId="0CE5EE0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E9BC9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NASA calling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you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for reactor input</w:t>
      </w:r>
    </w:p>
    <w:p w14:paraId="00F4D2B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primes asking for MOUs</w:t>
      </w:r>
    </w:p>
    <w:p w14:paraId="4B44C79E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study awards flowing</w:t>
      </w:r>
    </w:p>
    <w:p w14:paraId="28AACC0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Radiant included in draft architectures</w:t>
      </w:r>
    </w:p>
    <w:p w14:paraId="3B61B60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OTAs shaped the way you want</w:t>
      </w:r>
    </w:p>
    <w:p w14:paraId="2E911F0F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lab partners lined up</w:t>
      </w:r>
    </w:p>
    <w:p w14:paraId="1061473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F698E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555469B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267D01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03A6066E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514CCE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PART 2 — What a NASA Space-Power White Paper Actually Looks Like</w:t>
      </w:r>
    </w:p>
    <w:p w14:paraId="30FC401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832C61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 NASA issues an RFI or draft solicitation, they often ask for a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5–</w:t>
      </w:r>
      <w:proofErr w:type="gram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10 page</w:t>
      </w:r>
      <w:proofErr w:type="gram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concept paper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with very specific sections.</w:t>
      </w:r>
    </w:p>
    <w:p w14:paraId="2EE601C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DEE33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Here’s the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real structure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agencies expect.</w:t>
      </w:r>
    </w:p>
    <w:p w14:paraId="29BFB07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E185E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BDA72A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66DC0BF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🧾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1. Executive Summary (1 page)</w:t>
      </w:r>
    </w:p>
    <w:p w14:paraId="5B8822D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0ACBE6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Clear and sober:</w:t>
      </w:r>
    </w:p>
    <w:p w14:paraId="4E11A01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37FD1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Radiant proposes a scalable lunar surface fission power system derived from its mobile terrestrial micro-reactor architecture, optimized for vacuum heat rejection, autonomous operation, and launch-safe subcritical configuration.</w:t>
      </w:r>
    </w:p>
    <w:p w14:paraId="1FF5D1B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47B62A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Include:</w:t>
      </w:r>
    </w:p>
    <w:p w14:paraId="7C8550B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mission relevance</w:t>
      </w:r>
    </w:p>
    <w:p w14:paraId="2176CD2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power level</w:t>
      </w:r>
    </w:p>
    <w:p w14:paraId="65A94C6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why now</w:t>
      </w:r>
    </w:p>
    <w:p w14:paraId="2AE5C3B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what NASA gets</w:t>
      </w:r>
    </w:p>
    <w:p w14:paraId="4B9246AE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5AE5D1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D356FE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612CE2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6A7AA05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D65964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🛰️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2. Mission Applications</w:t>
      </w:r>
    </w:p>
    <w:p w14:paraId="3D42DA8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C5C0C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Tie to NASA needs:</w:t>
      </w:r>
    </w:p>
    <w:p w14:paraId="6580C54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lunar south-pole bases</w:t>
      </w:r>
    </w:p>
    <w:p w14:paraId="181CA60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ISRU plants</w:t>
      </w:r>
    </w:p>
    <w:p w14:paraId="1E1A631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science outposts</w:t>
      </w:r>
    </w:p>
    <w:p w14:paraId="755734B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defense dual-use</w:t>
      </w:r>
    </w:p>
    <w:p w14:paraId="2D8DB9B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Mars precursors</w:t>
      </w:r>
    </w:p>
    <w:p w14:paraId="3119FFD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789F9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Specify:</w:t>
      </w:r>
    </w:p>
    <w:p w14:paraId="278F3E7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kW ranges</w:t>
      </w:r>
    </w:p>
    <w:p w14:paraId="3D5B660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duty cycle</w:t>
      </w:r>
    </w:p>
    <w:p w14:paraId="76668A8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lifetime (10+ yrs)</w:t>
      </w:r>
    </w:p>
    <w:p w14:paraId="56DDA21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FA0B4B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234167D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3A302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656EC3E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B1BB5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⚛️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3. Technical Architecture</w:t>
      </w:r>
    </w:p>
    <w:p w14:paraId="006D215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5A508E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is the core:</w:t>
      </w:r>
    </w:p>
    <w:p w14:paraId="57538140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reactor type &amp; spectrum</w:t>
      </w:r>
    </w:p>
    <w:p w14:paraId="399258E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fuel &amp; moderator approach</w:t>
      </w:r>
    </w:p>
    <w:p w14:paraId="3E68876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cooling method</w:t>
      </w:r>
    </w:p>
    <w:p w14:paraId="4B1F6830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power conversion cycle</w:t>
      </w:r>
    </w:p>
    <w:p w14:paraId="0EECD740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radiator concepts</w:t>
      </w:r>
    </w:p>
    <w:p w14:paraId="2F0A759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shielding</w:t>
      </w:r>
    </w:p>
    <w:p w14:paraId="3F4EC6D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autonomy &amp; fault response</w:t>
      </w:r>
    </w:p>
    <w:p w14:paraId="4C2E6EB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deployment configuration</w:t>
      </w:r>
    </w:p>
    <w:p w14:paraId="2C5AF33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8318BC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 fluff. Engineers read this.</w:t>
      </w:r>
    </w:p>
    <w:p w14:paraId="5FCC225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4F382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3B2A1F5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01FB8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91BC54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6C476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4. Safety &amp; Launch Approach</w:t>
      </w:r>
    </w:p>
    <w:p w14:paraId="29FD0C7F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D52D3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Critical:</w:t>
      </w:r>
    </w:p>
    <w:p w14:paraId="6C338E7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sub-critical launch state</w:t>
      </w:r>
    </w:p>
    <w:p w14:paraId="10ED20A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accident scenarios</w:t>
      </w:r>
    </w:p>
    <w:p w14:paraId="740A942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shielding strategy</w:t>
      </w:r>
    </w:p>
    <w:p w14:paraId="54E1EB0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interagency approval path</w:t>
      </w:r>
    </w:p>
    <w:p w14:paraId="7A01CC4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treaty compliance</w:t>
      </w:r>
    </w:p>
    <w:p w14:paraId="3207634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077F18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section often decides seriousness.</w:t>
      </w:r>
    </w:p>
    <w:p w14:paraId="7478DED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09DD6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017FD00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5B551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0DDBF29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9F6D97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📆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5. Development Roadmap</w:t>
      </w:r>
    </w:p>
    <w:p w14:paraId="1E01B8C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31AAD4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Phased:</w:t>
      </w:r>
    </w:p>
    <w:p w14:paraId="7175F70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927B8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Year 1: modeling &amp; subscale tests</w:t>
      </w:r>
    </w:p>
    <w:p w14:paraId="6F9A5F9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Year 2: integrated ground prototype</w:t>
      </w:r>
    </w:p>
    <w:p w14:paraId="1051BA0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Year 3–4: space qualification</w:t>
      </w:r>
    </w:p>
    <w:p w14:paraId="2A5ABC1E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Year 5+: flight demo</w:t>
      </w:r>
    </w:p>
    <w:p w14:paraId="75EFA45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58158F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Include dependencies.</w:t>
      </w:r>
    </w:p>
    <w:p w14:paraId="4E3F5CE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FDB6A2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F840D0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F545BA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3780A52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D4D501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🤝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6. Teaming &amp; Roles</w:t>
      </w:r>
    </w:p>
    <w:p w14:paraId="7A066AA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33682E0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List:</w:t>
      </w:r>
    </w:p>
    <w:p w14:paraId="3D47AF1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Radiant role</w:t>
      </w:r>
    </w:p>
    <w:p w14:paraId="02156F9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primes</w:t>
      </w:r>
    </w:p>
    <w:p w14:paraId="0B6679A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national labs</w:t>
      </w:r>
    </w:p>
    <w:p w14:paraId="7554C870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universities</w:t>
      </w:r>
    </w:p>
    <w:p w14:paraId="509A754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launch providers (if any)</w:t>
      </w:r>
    </w:p>
    <w:p w14:paraId="5092E8D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FC0A4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⸻</w:t>
      </w:r>
    </w:p>
    <w:p w14:paraId="16221A4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571E9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6A3E3A6F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54A68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💰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7. Cost &amp; Schedule ROM</w:t>
      </w:r>
    </w:p>
    <w:p w14:paraId="7A84E8E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E79C6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Rough order-of-magnitude:</w:t>
      </w:r>
    </w:p>
    <w:p w14:paraId="6B67844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concept study</w:t>
      </w:r>
    </w:p>
    <w:p w14:paraId="7D49F9A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ground demo</w:t>
      </w:r>
    </w:p>
    <w:p w14:paraId="19FC149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flight unit</w:t>
      </w:r>
    </w:p>
    <w:p w14:paraId="76AE2430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AF4F0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NASA knows these are uncertain — just be credible.</w:t>
      </w:r>
    </w:p>
    <w:p w14:paraId="0D76C61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9A02F9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F70E12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87A4EB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72A892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5DBE89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8. Why Radiant</w:t>
      </w:r>
    </w:p>
    <w:p w14:paraId="2075EF40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768254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Focused differentiation:</w:t>
      </w:r>
    </w:p>
    <w:p w14:paraId="216B8D2F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mobile-reactor heritage</w:t>
      </w:r>
    </w:p>
    <w:p w14:paraId="3613FCDF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moderator IP</w:t>
      </w:r>
    </w:p>
    <w:p w14:paraId="37D8C4B7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autonomy</w:t>
      </w:r>
    </w:p>
    <w:p w14:paraId="11FF61D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manufacturability</w:t>
      </w:r>
    </w:p>
    <w:p w14:paraId="0D5877C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licensing experience</w:t>
      </w:r>
    </w:p>
    <w:p w14:paraId="15F6DF03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D63CE6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7EB0FF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D0F48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2E4127BF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9EA24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📎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9. Optional Appendices</w:t>
      </w:r>
    </w:p>
    <w:p w14:paraId="24C45A1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mass estimates</w:t>
      </w:r>
    </w:p>
    <w:p w14:paraId="1BC18F4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radiator sizing</w:t>
      </w:r>
    </w:p>
    <w:p w14:paraId="6BA19B7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block diagrams</w:t>
      </w:r>
    </w:p>
    <w:p w14:paraId="31D5D875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comparison vs solar</w:t>
      </w:r>
    </w:p>
    <w:p w14:paraId="73DDCB3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references</w:t>
      </w:r>
    </w:p>
    <w:p w14:paraId="1EC98DC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50660E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6867F65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630800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Strategic Insight</w:t>
      </w:r>
    </w:p>
    <w:p w14:paraId="2D36ED60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F3D3BA4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Your OKRs drive your white papers.</w:t>
      </w:r>
    </w:p>
    <w:p w14:paraId="5B25CC28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416029B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White papers drive RFIs.</w:t>
      </w:r>
    </w:p>
    <w:p w14:paraId="6B6ED99C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69F25B1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RFIs become OTAs.</w:t>
      </w:r>
    </w:p>
    <w:p w14:paraId="7275C00E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55C13D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OTAs become flight demos.</w:t>
      </w:r>
    </w:p>
    <w:p w14:paraId="36E30712" w14:textId="77777777" w:rsidR="00353299" w:rsidRDefault="00353299" w:rsidP="0035329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2FF2594" w14:textId="3E930313" w:rsidR="00353299" w:rsidRDefault="00353299" w:rsidP="00353299">
      <w:r>
        <w:rPr>
          <w:rFonts w:ascii="AppleSystemUIFont" w:hAnsi="AppleSystemUIFont" w:cs="AppleSystemUIFont"/>
          <w:kern w:val="0"/>
          <w:sz w:val="26"/>
          <w:szCs w:val="26"/>
        </w:rPr>
        <w:t>Flight demos become Programs of Record.</w:t>
      </w:r>
    </w:p>
    <w:sectPr w:rsidR="00353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99"/>
    <w:rsid w:val="00353299"/>
    <w:rsid w:val="00DD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BCFD4"/>
  <w15:chartTrackingRefBased/>
  <w15:docId w15:val="{6DDEF871-A2C8-7C48-8E06-E7BD03E62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Wallace</dc:creator>
  <cp:keywords/>
  <dc:description/>
  <cp:lastModifiedBy>Chad Wallace</cp:lastModifiedBy>
  <cp:revision>1</cp:revision>
  <dcterms:created xsi:type="dcterms:W3CDTF">2026-02-01T17:42:00Z</dcterms:created>
  <dcterms:modified xsi:type="dcterms:W3CDTF">2026-02-01T17:42:00Z</dcterms:modified>
</cp:coreProperties>
</file>