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289758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D446B">
            <w:trPr>
              <w:trHeight w:val="2880"/>
              <w:jc w:val="center"/>
            </w:trPr>
            <w:tc>
              <w:tcPr>
                <w:tcW w:w="5000" w:type="pct"/>
              </w:tcPr>
              <w:p w:rsidR="000D446B" w:rsidRDefault="000D446B" w:rsidP="00F16E4B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D44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D446B" w:rsidRDefault="00D6163F" w:rsidP="00D616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Syntaxi</w:t>
                    </w:r>
                    <w:proofErr w:type="spellEnd"/>
                  </w:p>
                </w:tc>
              </w:sdtContent>
            </w:sdt>
          </w:tr>
          <w:tr w:rsidR="000D446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D446B" w:rsidRDefault="00D6163F" w:rsidP="00D616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Extracteur de documentation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D446B" w:rsidRDefault="000D446B">
                <w:pPr>
                  <w:pStyle w:val="Sansinterligne"/>
                  <w:jc w:val="center"/>
                </w:pPr>
              </w:p>
            </w:tc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D446B" w:rsidRDefault="000D446B" w:rsidP="000D446B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Thomas Auguey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0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D446B" w:rsidRDefault="000D446B" w:rsidP="00D6163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  <w:r w:rsidR="00D6163F"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t>/</w:t>
                    </w:r>
                    <w:r w:rsidR="00D6163F">
                      <w:rPr>
                        <w:b/>
                        <w:bCs/>
                      </w:rPr>
                      <w:t>10</w:t>
                    </w:r>
                    <w:r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D446B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D446B" w:rsidRDefault="004D1CAB" w:rsidP="004D1CAB">
                    <w:pPr>
                      <w:pStyle w:val="Sansinterligne"/>
                    </w:pPr>
                    <w:r>
                      <w:t>Système de documentation</w:t>
                    </w:r>
                    <w:r w:rsidR="000D446B">
                      <w:t>.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0D446B">
            <w:rPr>
              <w:sz w:val="52"/>
            </w:rPr>
            <w:lastRenderedPageBreak/>
            <w:t>SOMMAIRE</w:t>
          </w:r>
        </w:p>
      </w:sdtContent>
    </w:sdt>
    <w:p w:rsidR="004D1CAB" w:rsidRDefault="00C760F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0D446B">
        <w:instrText xml:space="preserve"> TOC \o "1-2" \h \z \u </w:instrText>
      </w:r>
      <w:r>
        <w:fldChar w:fldCharType="separate"/>
      </w:r>
      <w:hyperlink w:anchor="_Toc434340970" w:history="1">
        <w:r w:rsidR="004D1CAB" w:rsidRPr="00B24152">
          <w:rPr>
            <w:rStyle w:val="Lienhypertexte"/>
            <w:noProof/>
          </w:rPr>
          <w:t>Présentation</w:t>
        </w:r>
        <w:r w:rsidR="004D1CAB">
          <w:rPr>
            <w:noProof/>
            <w:webHidden/>
          </w:rPr>
          <w:tab/>
        </w:r>
        <w:r w:rsidR="004D1CAB">
          <w:rPr>
            <w:noProof/>
            <w:webHidden/>
          </w:rPr>
          <w:fldChar w:fldCharType="begin"/>
        </w:r>
        <w:r w:rsidR="004D1CAB">
          <w:rPr>
            <w:noProof/>
            <w:webHidden/>
          </w:rPr>
          <w:instrText xml:space="preserve"> PAGEREF _Toc434340970 \h </w:instrText>
        </w:r>
        <w:r w:rsidR="004D1CAB">
          <w:rPr>
            <w:noProof/>
            <w:webHidden/>
          </w:rPr>
        </w:r>
        <w:r w:rsidR="004D1CAB">
          <w:rPr>
            <w:noProof/>
            <w:webHidden/>
          </w:rPr>
          <w:fldChar w:fldCharType="separate"/>
        </w:r>
        <w:r w:rsidR="004D1CAB">
          <w:rPr>
            <w:noProof/>
            <w:webHidden/>
          </w:rPr>
          <w:t>3</w:t>
        </w:r>
        <w:r w:rsidR="004D1CAB">
          <w:rPr>
            <w:noProof/>
            <w:webHidden/>
          </w:rPr>
          <w:fldChar w:fldCharType="end"/>
        </w:r>
      </w:hyperlink>
    </w:p>
    <w:p w:rsidR="004D1CAB" w:rsidRDefault="007E7E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40971" w:history="1">
        <w:r w:rsidR="004D1CAB" w:rsidRPr="00B24152">
          <w:rPr>
            <w:rStyle w:val="Lienhypertexte"/>
            <w:noProof/>
          </w:rPr>
          <w:t>Motivations</w:t>
        </w:r>
        <w:r w:rsidR="004D1CAB">
          <w:rPr>
            <w:noProof/>
            <w:webHidden/>
          </w:rPr>
          <w:tab/>
        </w:r>
        <w:r w:rsidR="004D1CAB">
          <w:rPr>
            <w:noProof/>
            <w:webHidden/>
          </w:rPr>
          <w:fldChar w:fldCharType="begin"/>
        </w:r>
        <w:r w:rsidR="004D1CAB">
          <w:rPr>
            <w:noProof/>
            <w:webHidden/>
          </w:rPr>
          <w:instrText xml:space="preserve"> PAGEREF _Toc434340971 \h </w:instrText>
        </w:r>
        <w:r w:rsidR="004D1CAB">
          <w:rPr>
            <w:noProof/>
            <w:webHidden/>
          </w:rPr>
        </w:r>
        <w:r w:rsidR="004D1CAB">
          <w:rPr>
            <w:noProof/>
            <w:webHidden/>
          </w:rPr>
          <w:fldChar w:fldCharType="separate"/>
        </w:r>
        <w:r w:rsidR="004D1CAB">
          <w:rPr>
            <w:noProof/>
            <w:webHidden/>
          </w:rPr>
          <w:t>3</w:t>
        </w:r>
        <w:r w:rsidR="004D1CAB">
          <w:rPr>
            <w:noProof/>
            <w:webHidden/>
          </w:rPr>
          <w:fldChar w:fldCharType="end"/>
        </w:r>
      </w:hyperlink>
    </w:p>
    <w:p w:rsidR="004D1CAB" w:rsidRDefault="007E7E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40972" w:history="1">
        <w:r w:rsidR="004D1CAB" w:rsidRPr="00B24152">
          <w:rPr>
            <w:rStyle w:val="Lienhypertexte"/>
            <w:noProof/>
          </w:rPr>
          <w:t>Cahier des charges</w:t>
        </w:r>
        <w:r w:rsidR="004D1CAB">
          <w:rPr>
            <w:noProof/>
            <w:webHidden/>
          </w:rPr>
          <w:tab/>
        </w:r>
        <w:r w:rsidR="004D1CAB">
          <w:rPr>
            <w:noProof/>
            <w:webHidden/>
          </w:rPr>
          <w:fldChar w:fldCharType="begin"/>
        </w:r>
        <w:r w:rsidR="004D1CAB">
          <w:rPr>
            <w:noProof/>
            <w:webHidden/>
          </w:rPr>
          <w:instrText xml:space="preserve"> PAGEREF _Toc434340972 \h </w:instrText>
        </w:r>
        <w:r w:rsidR="004D1CAB">
          <w:rPr>
            <w:noProof/>
            <w:webHidden/>
          </w:rPr>
        </w:r>
        <w:r w:rsidR="004D1CAB">
          <w:rPr>
            <w:noProof/>
            <w:webHidden/>
          </w:rPr>
          <w:fldChar w:fldCharType="separate"/>
        </w:r>
        <w:r w:rsidR="004D1CAB">
          <w:rPr>
            <w:noProof/>
            <w:webHidden/>
          </w:rPr>
          <w:t>3</w:t>
        </w:r>
        <w:r w:rsidR="004D1CAB">
          <w:rPr>
            <w:noProof/>
            <w:webHidden/>
          </w:rPr>
          <w:fldChar w:fldCharType="end"/>
        </w:r>
      </w:hyperlink>
    </w:p>
    <w:p w:rsidR="004D1CAB" w:rsidRDefault="007E7E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40973" w:history="1">
        <w:r w:rsidR="004D1CAB" w:rsidRPr="00B24152">
          <w:rPr>
            <w:rStyle w:val="Lienhypertexte"/>
            <w:noProof/>
          </w:rPr>
          <w:t>Eléments</w:t>
        </w:r>
        <w:r w:rsidR="004D1CAB">
          <w:rPr>
            <w:noProof/>
            <w:webHidden/>
          </w:rPr>
          <w:tab/>
        </w:r>
        <w:r w:rsidR="004D1CAB">
          <w:rPr>
            <w:noProof/>
            <w:webHidden/>
          </w:rPr>
          <w:fldChar w:fldCharType="begin"/>
        </w:r>
        <w:r w:rsidR="004D1CAB">
          <w:rPr>
            <w:noProof/>
            <w:webHidden/>
          </w:rPr>
          <w:instrText xml:space="preserve"> PAGEREF _Toc434340973 \h </w:instrText>
        </w:r>
        <w:r w:rsidR="004D1CAB">
          <w:rPr>
            <w:noProof/>
            <w:webHidden/>
          </w:rPr>
        </w:r>
        <w:r w:rsidR="004D1CAB">
          <w:rPr>
            <w:noProof/>
            <w:webHidden/>
          </w:rPr>
          <w:fldChar w:fldCharType="separate"/>
        </w:r>
        <w:r w:rsidR="004D1CAB">
          <w:rPr>
            <w:noProof/>
            <w:webHidden/>
          </w:rPr>
          <w:t>3</w:t>
        </w:r>
        <w:r w:rsidR="004D1CAB">
          <w:rPr>
            <w:noProof/>
            <w:webHidden/>
          </w:rPr>
          <w:fldChar w:fldCharType="end"/>
        </w:r>
      </w:hyperlink>
    </w:p>
    <w:p w:rsidR="004D1CAB" w:rsidRDefault="007E7E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40974" w:history="1">
        <w:r w:rsidR="004D1CAB" w:rsidRPr="00B24152">
          <w:rPr>
            <w:rStyle w:val="Lienhypertexte"/>
            <w:noProof/>
          </w:rPr>
          <w:t>Acteurs</w:t>
        </w:r>
        <w:r w:rsidR="004D1CAB">
          <w:rPr>
            <w:noProof/>
            <w:webHidden/>
          </w:rPr>
          <w:tab/>
        </w:r>
        <w:r w:rsidR="004D1CAB">
          <w:rPr>
            <w:noProof/>
            <w:webHidden/>
          </w:rPr>
          <w:fldChar w:fldCharType="begin"/>
        </w:r>
        <w:r w:rsidR="004D1CAB">
          <w:rPr>
            <w:noProof/>
            <w:webHidden/>
          </w:rPr>
          <w:instrText xml:space="preserve"> PAGEREF _Toc434340974 \h </w:instrText>
        </w:r>
        <w:r w:rsidR="004D1CAB">
          <w:rPr>
            <w:noProof/>
            <w:webHidden/>
          </w:rPr>
        </w:r>
        <w:r w:rsidR="004D1CAB">
          <w:rPr>
            <w:noProof/>
            <w:webHidden/>
          </w:rPr>
          <w:fldChar w:fldCharType="separate"/>
        </w:r>
        <w:r w:rsidR="004D1CAB">
          <w:rPr>
            <w:noProof/>
            <w:webHidden/>
          </w:rPr>
          <w:t>4</w:t>
        </w:r>
        <w:r w:rsidR="004D1CAB">
          <w:rPr>
            <w:noProof/>
            <w:webHidden/>
          </w:rPr>
          <w:fldChar w:fldCharType="end"/>
        </w:r>
      </w:hyperlink>
    </w:p>
    <w:p w:rsidR="004D1CAB" w:rsidRDefault="007E7E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40975" w:history="1">
        <w:r w:rsidR="004D1CAB" w:rsidRPr="00B24152">
          <w:rPr>
            <w:rStyle w:val="Lienhypertexte"/>
            <w:noProof/>
          </w:rPr>
          <w:t>Cas d’utilisations</w:t>
        </w:r>
        <w:r w:rsidR="004D1CAB">
          <w:rPr>
            <w:noProof/>
            <w:webHidden/>
          </w:rPr>
          <w:tab/>
        </w:r>
        <w:r w:rsidR="004D1CAB">
          <w:rPr>
            <w:noProof/>
            <w:webHidden/>
          </w:rPr>
          <w:fldChar w:fldCharType="begin"/>
        </w:r>
        <w:r w:rsidR="004D1CAB">
          <w:rPr>
            <w:noProof/>
            <w:webHidden/>
          </w:rPr>
          <w:instrText xml:space="preserve"> PAGEREF _Toc434340975 \h </w:instrText>
        </w:r>
        <w:r w:rsidR="004D1CAB">
          <w:rPr>
            <w:noProof/>
            <w:webHidden/>
          </w:rPr>
        </w:r>
        <w:r w:rsidR="004D1CAB">
          <w:rPr>
            <w:noProof/>
            <w:webHidden/>
          </w:rPr>
          <w:fldChar w:fldCharType="separate"/>
        </w:r>
        <w:r w:rsidR="004D1CAB">
          <w:rPr>
            <w:noProof/>
            <w:webHidden/>
          </w:rPr>
          <w:t>5</w:t>
        </w:r>
        <w:r w:rsidR="004D1CAB">
          <w:rPr>
            <w:noProof/>
            <w:webHidden/>
          </w:rPr>
          <w:fldChar w:fldCharType="end"/>
        </w:r>
      </w:hyperlink>
    </w:p>
    <w:p w:rsidR="004D1CAB" w:rsidRDefault="007E7EA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40976" w:history="1">
        <w:r w:rsidR="004D1CAB" w:rsidRPr="00B24152">
          <w:rPr>
            <w:rStyle w:val="Lienhypertexte"/>
            <w:noProof/>
          </w:rPr>
          <w:t>Définition</w:t>
        </w:r>
        <w:r w:rsidR="004D1CAB">
          <w:rPr>
            <w:noProof/>
            <w:webHidden/>
          </w:rPr>
          <w:tab/>
        </w:r>
        <w:r w:rsidR="004D1CAB">
          <w:rPr>
            <w:noProof/>
            <w:webHidden/>
          </w:rPr>
          <w:fldChar w:fldCharType="begin"/>
        </w:r>
        <w:r w:rsidR="004D1CAB">
          <w:rPr>
            <w:noProof/>
            <w:webHidden/>
          </w:rPr>
          <w:instrText xml:space="preserve"> PAGEREF _Toc434340976 \h </w:instrText>
        </w:r>
        <w:r w:rsidR="004D1CAB">
          <w:rPr>
            <w:noProof/>
            <w:webHidden/>
          </w:rPr>
        </w:r>
        <w:r w:rsidR="004D1CAB">
          <w:rPr>
            <w:noProof/>
            <w:webHidden/>
          </w:rPr>
          <w:fldChar w:fldCharType="separate"/>
        </w:r>
        <w:r w:rsidR="004D1CAB">
          <w:rPr>
            <w:noProof/>
            <w:webHidden/>
          </w:rPr>
          <w:t>6</w:t>
        </w:r>
        <w:r w:rsidR="004D1CAB">
          <w:rPr>
            <w:noProof/>
            <w:webHidden/>
          </w:rPr>
          <w:fldChar w:fldCharType="end"/>
        </w:r>
      </w:hyperlink>
    </w:p>
    <w:p w:rsidR="004D1CAB" w:rsidRDefault="007E7E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40977" w:history="1">
        <w:r w:rsidR="004D1CAB" w:rsidRPr="00B24152">
          <w:rPr>
            <w:rStyle w:val="Lienhypertexte"/>
            <w:noProof/>
          </w:rPr>
          <w:t>Système</w:t>
        </w:r>
        <w:r w:rsidR="004D1CAB">
          <w:rPr>
            <w:noProof/>
            <w:webHidden/>
          </w:rPr>
          <w:tab/>
        </w:r>
        <w:r w:rsidR="004D1CAB">
          <w:rPr>
            <w:noProof/>
            <w:webHidden/>
          </w:rPr>
          <w:fldChar w:fldCharType="begin"/>
        </w:r>
        <w:r w:rsidR="004D1CAB">
          <w:rPr>
            <w:noProof/>
            <w:webHidden/>
          </w:rPr>
          <w:instrText xml:space="preserve"> PAGEREF _Toc434340977 \h </w:instrText>
        </w:r>
        <w:r w:rsidR="004D1CAB">
          <w:rPr>
            <w:noProof/>
            <w:webHidden/>
          </w:rPr>
        </w:r>
        <w:r w:rsidR="004D1CAB">
          <w:rPr>
            <w:noProof/>
            <w:webHidden/>
          </w:rPr>
          <w:fldChar w:fldCharType="separate"/>
        </w:r>
        <w:r w:rsidR="004D1CAB">
          <w:rPr>
            <w:noProof/>
            <w:webHidden/>
          </w:rPr>
          <w:t>6</w:t>
        </w:r>
        <w:r w:rsidR="004D1CAB">
          <w:rPr>
            <w:noProof/>
            <w:webHidden/>
          </w:rPr>
          <w:fldChar w:fldCharType="end"/>
        </w:r>
      </w:hyperlink>
    </w:p>
    <w:p w:rsidR="004D1CAB" w:rsidRDefault="007E7EA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40978" w:history="1">
        <w:r w:rsidR="004D1CAB" w:rsidRPr="00B24152">
          <w:rPr>
            <w:rStyle w:val="Lienhypertexte"/>
            <w:noProof/>
          </w:rPr>
          <w:t>Réalisation</w:t>
        </w:r>
        <w:r w:rsidR="004D1CAB">
          <w:rPr>
            <w:noProof/>
            <w:webHidden/>
          </w:rPr>
          <w:tab/>
        </w:r>
        <w:r w:rsidR="004D1CAB">
          <w:rPr>
            <w:noProof/>
            <w:webHidden/>
          </w:rPr>
          <w:fldChar w:fldCharType="begin"/>
        </w:r>
        <w:r w:rsidR="004D1CAB">
          <w:rPr>
            <w:noProof/>
            <w:webHidden/>
          </w:rPr>
          <w:instrText xml:space="preserve"> PAGEREF _Toc434340978 \h </w:instrText>
        </w:r>
        <w:r w:rsidR="004D1CAB">
          <w:rPr>
            <w:noProof/>
            <w:webHidden/>
          </w:rPr>
        </w:r>
        <w:r w:rsidR="004D1CAB">
          <w:rPr>
            <w:noProof/>
            <w:webHidden/>
          </w:rPr>
          <w:fldChar w:fldCharType="separate"/>
        </w:r>
        <w:r w:rsidR="004D1CAB">
          <w:rPr>
            <w:noProof/>
            <w:webHidden/>
          </w:rPr>
          <w:t>7</w:t>
        </w:r>
        <w:r w:rsidR="004D1CAB">
          <w:rPr>
            <w:noProof/>
            <w:webHidden/>
          </w:rPr>
          <w:fldChar w:fldCharType="end"/>
        </w:r>
      </w:hyperlink>
    </w:p>
    <w:p w:rsidR="004D1CAB" w:rsidRDefault="007E7E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40979" w:history="1">
        <w:r w:rsidR="004D1CAB" w:rsidRPr="00B24152">
          <w:rPr>
            <w:rStyle w:val="Lienhypertexte"/>
            <w:noProof/>
          </w:rPr>
          <w:t>Base de données</w:t>
        </w:r>
        <w:r w:rsidR="004D1CAB">
          <w:rPr>
            <w:noProof/>
            <w:webHidden/>
          </w:rPr>
          <w:tab/>
        </w:r>
        <w:r w:rsidR="004D1CAB">
          <w:rPr>
            <w:noProof/>
            <w:webHidden/>
          </w:rPr>
          <w:fldChar w:fldCharType="begin"/>
        </w:r>
        <w:r w:rsidR="004D1CAB">
          <w:rPr>
            <w:noProof/>
            <w:webHidden/>
          </w:rPr>
          <w:instrText xml:space="preserve"> PAGEREF _Toc434340979 \h </w:instrText>
        </w:r>
        <w:r w:rsidR="004D1CAB">
          <w:rPr>
            <w:noProof/>
            <w:webHidden/>
          </w:rPr>
        </w:r>
        <w:r w:rsidR="004D1CAB">
          <w:rPr>
            <w:noProof/>
            <w:webHidden/>
          </w:rPr>
          <w:fldChar w:fldCharType="separate"/>
        </w:r>
        <w:r w:rsidR="004D1CAB">
          <w:rPr>
            <w:noProof/>
            <w:webHidden/>
          </w:rPr>
          <w:t>8</w:t>
        </w:r>
        <w:r w:rsidR="004D1CAB">
          <w:rPr>
            <w:noProof/>
            <w:webHidden/>
          </w:rPr>
          <w:fldChar w:fldCharType="end"/>
        </w:r>
      </w:hyperlink>
    </w:p>
    <w:p w:rsidR="004D1CAB" w:rsidRDefault="007E7E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4340980" w:history="1">
        <w:r w:rsidR="004D1CAB" w:rsidRPr="00B24152">
          <w:rPr>
            <w:rStyle w:val="Lienhypertexte"/>
            <w:noProof/>
          </w:rPr>
          <w:t>Interface de gestion</w:t>
        </w:r>
        <w:r w:rsidR="004D1CAB">
          <w:rPr>
            <w:noProof/>
            <w:webHidden/>
          </w:rPr>
          <w:tab/>
        </w:r>
        <w:r w:rsidR="004D1CAB">
          <w:rPr>
            <w:noProof/>
            <w:webHidden/>
          </w:rPr>
          <w:fldChar w:fldCharType="begin"/>
        </w:r>
        <w:r w:rsidR="004D1CAB">
          <w:rPr>
            <w:noProof/>
            <w:webHidden/>
          </w:rPr>
          <w:instrText xml:space="preserve"> PAGEREF _Toc434340980 \h </w:instrText>
        </w:r>
        <w:r w:rsidR="004D1CAB">
          <w:rPr>
            <w:noProof/>
            <w:webHidden/>
          </w:rPr>
        </w:r>
        <w:r w:rsidR="004D1CAB">
          <w:rPr>
            <w:noProof/>
            <w:webHidden/>
          </w:rPr>
          <w:fldChar w:fldCharType="separate"/>
        </w:r>
        <w:r w:rsidR="004D1CAB">
          <w:rPr>
            <w:noProof/>
            <w:webHidden/>
          </w:rPr>
          <w:t>11</w:t>
        </w:r>
        <w:r w:rsidR="004D1CAB">
          <w:rPr>
            <w:noProof/>
            <w:webHidden/>
          </w:rPr>
          <w:fldChar w:fldCharType="end"/>
        </w:r>
      </w:hyperlink>
    </w:p>
    <w:p w:rsidR="000D446B" w:rsidRDefault="00C760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0D446B">
        <w:br w:type="page"/>
      </w:r>
    </w:p>
    <w:p w:rsidR="001B4240" w:rsidRDefault="001B4240" w:rsidP="002020F5">
      <w:pPr>
        <w:pStyle w:val="Titre1"/>
      </w:pPr>
      <w:bookmarkStart w:id="0" w:name="_Toc434340970"/>
      <w:r>
        <w:lastRenderedPageBreak/>
        <w:t>Présentation</w:t>
      </w:r>
      <w:bookmarkEnd w:id="0"/>
    </w:p>
    <w:p w:rsidR="00A61A73" w:rsidRDefault="00325308" w:rsidP="001645FE">
      <w:proofErr w:type="spellStart"/>
      <w:r>
        <w:t>Syntaxi</w:t>
      </w:r>
      <w:proofErr w:type="spellEnd"/>
      <w:r>
        <w:t xml:space="preserve"> est un gestionnaire de documentation capable d’extraire la documentation de fichiers textes</w:t>
      </w:r>
      <w:r w:rsidR="00A6558B">
        <w:t xml:space="preserve"> dans des objets de données</w:t>
      </w:r>
      <w:r w:rsidR="000B6707">
        <w:t>.</w:t>
      </w:r>
      <w:r w:rsidR="008263BD">
        <w:t xml:space="preserve"> Ces données sont ainsi exploitables par des applications </w:t>
      </w:r>
      <w:proofErr w:type="gramStart"/>
      <w:r w:rsidR="008263BD">
        <w:t>tiers</w:t>
      </w:r>
      <w:proofErr w:type="gramEnd"/>
      <w:r w:rsidR="008263BD">
        <w:t xml:space="preserve"> pour mettre en forme des documentations utilisateurs. </w:t>
      </w:r>
      <w:r>
        <w:t xml:space="preserve"> L’intérêt du système repose sur la possibilité pour l’utilisateur final de </w:t>
      </w:r>
      <w:r w:rsidR="00A6558B">
        <w:t xml:space="preserve">créer ces règles d’extraction </w:t>
      </w:r>
      <w:r w:rsidR="008263BD">
        <w:t xml:space="preserve">basées sur les </w:t>
      </w:r>
      <w:r w:rsidR="00A6558B">
        <w:t>expression</w:t>
      </w:r>
      <w:r w:rsidR="008263BD">
        <w:t>s</w:t>
      </w:r>
      <w:r w:rsidR="00A6558B">
        <w:t>-régulière</w:t>
      </w:r>
      <w:r w:rsidR="008263BD">
        <w:t>s (</w:t>
      </w:r>
      <w:r w:rsidR="00A6558B">
        <w:t>bien connue des programmeurs en informatique</w:t>
      </w:r>
      <w:r w:rsidR="008263BD">
        <w:t>)</w:t>
      </w:r>
      <w:r w:rsidR="00A6558B">
        <w:t xml:space="preserve">. Le projet vise donc principalement les documentations techniques </w:t>
      </w:r>
      <w:r w:rsidR="008263BD">
        <w:t>et les</w:t>
      </w:r>
      <w:r w:rsidR="00A6558B">
        <w:t xml:space="preserve"> </w:t>
      </w:r>
      <w:r w:rsidR="004B710F">
        <w:t>API</w:t>
      </w:r>
      <w:r w:rsidR="00A6558B">
        <w:t xml:space="preserve"> informatiques.</w:t>
      </w:r>
    </w:p>
    <w:p w:rsidR="00A6558B" w:rsidRDefault="00A6558B" w:rsidP="00A6558B">
      <w:pPr>
        <w:pStyle w:val="Titre2"/>
      </w:pPr>
      <w:bookmarkStart w:id="1" w:name="_Toc434340971"/>
      <w:r>
        <w:t>Motivations</w:t>
      </w:r>
      <w:bookmarkEnd w:id="1"/>
    </w:p>
    <w:p w:rsidR="00A6558B" w:rsidRDefault="00A6558B" w:rsidP="001645FE">
      <w:r>
        <w:t>L’avantage est de tirer parti de la flexibilité des expressions régulières</w:t>
      </w:r>
      <w:r w:rsidR="00E31715">
        <w:t>. C</w:t>
      </w:r>
      <w:r>
        <w:t xml:space="preserve">ontrairement aux logiciels sur le marché </w:t>
      </w:r>
      <w:r w:rsidR="00E31715">
        <w:t xml:space="preserve">programmé pour analyser des </w:t>
      </w:r>
      <w:r>
        <w:t xml:space="preserve">langages </w:t>
      </w:r>
      <w:r w:rsidR="00E31715">
        <w:t>spécifiques (C++</w:t>
      </w:r>
      <w:proofErr w:type="gramStart"/>
      <w:r w:rsidR="00E31715">
        <w:t>,</w:t>
      </w:r>
      <w:proofErr w:type="spellStart"/>
      <w:r w:rsidR="00E31715">
        <w:t>C</w:t>
      </w:r>
      <w:proofErr w:type="gramEnd"/>
      <w:r w:rsidR="00E31715">
        <w:t>#,Java</w:t>
      </w:r>
      <w:proofErr w:type="spellEnd"/>
      <w:r w:rsidR="00E31715">
        <w:t xml:space="preserve">,…) tel que Doxygen, </w:t>
      </w:r>
      <w:r>
        <w:t xml:space="preserve"> </w:t>
      </w:r>
      <w:proofErr w:type="spellStart"/>
      <w:r>
        <w:t>Syntaxi</w:t>
      </w:r>
      <w:proofErr w:type="spellEnd"/>
      <w:r>
        <w:t xml:space="preserve"> prend la problématique </w:t>
      </w:r>
      <w:r w:rsidR="00E31715">
        <w:t xml:space="preserve">dans le sens </w:t>
      </w:r>
      <w:r>
        <w:t xml:space="preserve">inverse en proposant de s’adapter au code existant en </w:t>
      </w:r>
      <w:r w:rsidR="00E31715">
        <w:t xml:space="preserve"> se basant sur des expression régulières pour extraire le texte intéressant</w:t>
      </w:r>
      <w:r>
        <w:t>.</w:t>
      </w:r>
    </w:p>
    <w:p w:rsidR="00A61A73" w:rsidRDefault="00A61A73" w:rsidP="00A61A73">
      <w:pPr>
        <w:pStyle w:val="Titre2"/>
      </w:pPr>
      <w:bookmarkStart w:id="2" w:name="_Toc434340972"/>
      <w:r>
        <w:t>Cahier des charges</w:t>
      </w:r>
      <w:bookmarkEnd w:id="2"/>
    </w:p>
    <w:p w:rsidR="0026665B" w:rsidRDefault="00E31715" w:rsidP="001645FE">
      <w:r>
        <w:t xml:space="preserve">Le système devra proposer un modèle de données permettant de stocker des </w:t>
      </w:r>
      <w:r w:rsidR="00827A4E">
        <w:t>objets</w:t>
      </w:r>
      <w:r>
        <w:t xml:space="preserve"> de contenu texte génériques et typés</w:t>
      </w:r>
      <w:r w:rsidR="0026665B">
        <w:t>.</w:t>
      </w:r>
      <w:r>
        <w:t xml:space="preserve"> Les objets seront associés à une expression régulière permettant leurs extractions depuis un fichier texte quelconque. Les objets ainsi créés </w:t>
      </w:r>
      <w:r w:rsidR="00827A4E">
        <w:t>seront</w:t>
      </w:r>
      <w:r>
        <w:t xml:space="preserve"> stocké sous forme de données persistantes lisible par une application </w:t>
      </w:r>
      <w:r w:rsidR="00827A4E">
        <w:t>tierce</w:t>
      </w:r>
      <w:r>
        <w:t>.</w:t>
      </w:r>
    </w:p>
    <w:p w:rsidR="00E31715" w:rsidRDefault="00E31715" w:rsidP="001645FE">
      <w:r>
        <w:t xml:space="preserve">Le système ne définissant pas de mise en forme des objets (classe de données, page de description, </w:t>
      </w:r>
      <w:r w:rsidR="00EB155A">
        <w:t xml:space="preserve">fonction, élément de </w:t>
      </w:r>
      <w:proofErr w:type="spellStart"/>
      <w:r w:rsidR="00EB155A">
        <w:t>template</w:t>
      </w:r>
      <w:proofErr w:type="spellEnd"/>
      <w:r w:rsidR="00EB155A">
        <w:t>, …) l’utilisateur final devra typer ses expressions dans le but de les identifier lors de la mise en page.</w:t>
      </w:r>
    </w:p>
    <w:p w:rsidR="00EB155A" w:rsidRDefault="00EB155A" w:rsidP="001645FE">
      <w:r>
        <w:t>Idéalement, l’application devra permettre de mettre à jour des projets existant et d’exporter ses données dans une base SQL distante.</w:t>
      </w:r>
    </w:p>
    <w:p w:rsidR="00EB155A" w:rsidRDefault="00EB155A" w:rsidP="001645FE">
      <w:r>
        <w:t>L’</w:t>
      </w:r>
      <w:r w:rsidR="00025E60">
        <w:t xml:space="preserve">application sera </w:t>
      </w:r>
      <w:r w:rsidR="00827A4E">
        <w:t>proposée</w:t>
      </w:r>
      <w:r w:rsidR="00025E60">
        <w:t xml:space="preserve"> sous forme de ligne de commande et d’</w:t>
      </w:r>
      <w:r w:rsidR="009C6B35">
        <w:t xml:space="preserve">IHM. L’interface en ligne de commande est </w:t>
      </w:r>
      <w:r w:rsidR="00827A4E">
        <w:t>utilisée</w:t>
      </w:r>
      <w:r w:rsidR="009C6B35">
        <w:t xml:space="preserve"> dans un but d’automatisation du processus de génération des données.</w:t>
      </w:r>
    </w:p>
    <w:p w:rsidR="00A61A73" w:rsidRDefault="00AE5C34" w:rsidP="00A61A73">
      <w:pPr>
        <w:pStyle w:val="Titre2"/>
      </w:pPr>
      <w:bookmarkStart w:id="3" w:name="_Toc434340973"/>
      <w:r>
        <w:t>Eléments</w:t>
      </w:r>
      <w:bookmarkEnd w:id="3"/>
    </w:p>
    <w:p w:rsidR="00A61A73" w:rsidRDefault="009C6B35" w:rsidP="00A61A73">
      <w:pPr>
        <w:pStyle w:val="Titre3"/>
      </w:pPr>
      <w:r>
        <w:t>Projet</w:t>
      </w:r>
    </w:p>
    <w:p w:rsidR="00A61A73" w:rsidRDefault="009C6B35" w:rsidP="001645FE">
      <w:r>
        <w:t>Contient les objets de données générées et les objets de syntaxe.</w:t>
      </w:r>
    </w:p>
    <w:p w:rsidR="00A61A73" w:rsidRDefault="009C6B35" w:rsidP="00A61A73">
      <w:pPr>
        <w:pStyle w:val="Titre3"/>
      </w:pPr>
      <w:r>
        <w:t>Contenu</w:t>
      </w:r>
    </w:p>
    <w:p w:rsidR="00A61A73" w:rsidRDefault="00A61A73" w:rsidP="00A61A73">
      <w:r>
        <w:t>Société assimilé au groupe. Les informations connues comprennent le minimum nécessaire à l’entreprise (raison sociale)</w:t>
      </w:r>
    </w:p>
    <w:p w:rsidR="00A61A73" w:rsidRDefault="009C6B35" w:rsidP="00A61A73">
      <w:pPr>
        <w:pStyle w:val="Titre3"/>
      </w:pPr>
      <w:r>
        <w:t>Syntaxe</w:t>
      </w:r>
    </w:p>
    <w:p w:rsidR="00A61A73" w:rsidRDefault="00A61A73" w:rsidP="00A61A73">
      <w:r>
        <w:t>Il s’agit d’une tache réalisé par un employé dans le cadre de son travail. Les informations importantes sont la nature de la prestation et la date d’intervention.</w:t>
      </w:r>
    </w:p>
    <w:p w:rsidR="00F65F53" w:rsidRDefault="00F65F53" w:rsidP="00F65F53">
      <w:pPr>
        <w:pStyle w:val="Titre3"/>
      </w:pPr>
      <w:r>
        <w:t>Configuration</w:t>
      </w:r>
    </w:p>
    <w:p w:rsidR="00F65F53" w:rsidRDefault="00F65F53" w:rsidP="00A61A73">
      <w:r>
        <w:t>La configuration contient les informations de connexion au serveur de données. Cette configuration est unique à chaque HIM client installé.</w:t>
      </w:r>
    </w:p>
    <w:p w:rsidR="00BB707A" w:rsidRDefault="00BB707A" w:rsidP="00BB707A">
      <w:pPr>
        <w:pStyle w:val="Titre2"/>
      </w:pPr>
      <w:bookmarkStart w:id="4" w:name="_Toc434337381"/>
      <w:bookmarkStart w:id="5" w:name="_Toc434340974"/>
      <w:r>
        <w:lastRenderedPageBreak/>
        <w:t>Acteurs</w:t>
      </w:r>
      <w:bookmarkEnd w:id="4"/>
      <w:bookmarkEnd w:id="5"/>
    </w:p>
    <w:p w:rsidR="00BB707A" w:rsidRDefault="00BB707A" w:rsidP="00BB707A">
      <w:pPr>
        <w:pStyle w:val="Titre3"/>
      </w:pPr>
      <w:r>
        <w:t>Utilisateur</w:t>
      </w:r>
    </w:p>
    <w:p w:rsidR="00BB707A" w:rsidRDefault="00BB707A" w:rsidP="00BB707A">
      <w:r>
        <w:t>L’utilisateur final contrôle de plein droit les données du projet à l’aide d’une IHM</w:t>
      </w:r>
    </w:p>
    <w:p w:rsidR="00BB707A" w:rsidRDefault="00BB707A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434337382"/>
      <w:r>
        <w:br w:type="page"/>
      </w:r>
    </w:p>
    <w:p w:rsidR="00827A4E" w:rsidRDefault="00827A4E" w:rsidP="00827A4E">
      <w:pPr>
        <w:pStyle w:val="Titre2"/>
      </w:pPr>
      <w:bookmarkStart w:id="7" w:name="_Toc434340975"/>
      <w:r>
        <w:lastRenderedPageBreak/>
        <w:t>Cas d’utilisations</w:t>
      </w:r>
      <w:bookmarkEnd w:id="7"/>
    </w:p>
    <w:p w:rsidR="00827A4E" w:rsidRDefault="00827A4E" w:rsidP="00827A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0137" w:rsidRDefault="00920137" w:rsidP="00920137">
      <w:pPr>
        <w:pStyle w:val="Titre1"/>
      </w:pPr>
      <w:bookmarkStart w:id="8" w:name="_Toc434340976"/>
      <w:r>
        <w:lastRenderedPageBreak/>
        <w:t>Définition</w:t>
      </w:r>
      <w:bookmarkEnd w:id="6"/>
      <w:bookmarkEnd w:id="8"/>
    </w:p>
    <w:p w:rsidR="00920137" w:rsidRDefault="00920137" w:rsidP="00920137">
      <w:pPr>
        <w:pStyle w:val="Titre2"/>
      </w:pPr>
      <w:bookmarkStart w:id="9" w:name="_Toc434337383"/>
      <w:bookmarkStart w:id="10" w:name="_Toc434340977"/>
      <w:r>
        <w:t>Système</w:t>
      </w:r>
      <w:bookmarkEnd w:id="9"/>
      <w:bookmarkEnd w:id="10"/>
    </w:p>
    <w:p w:rsidR="00920137" w:rsidRDefault="00920137" w:rsidP="00920137">
      <w:pPr>
        <w:pStyle w:val="Titre3"/>
      </w:pPr>
      <w:r>
        <w:t>Base de données</w:t>
      </w:r>
    </w:p>
    <w:p w:rsidR="00920137" w:rsidRDefault="00920137" w:rsidP="00920137">
      <w:r>
        <w:t>Une base de données compatible ODBC permettra de stocker et partager les données aux clients système.</w:t>
      </w:r>
    </w:p>
    <w:p w:rsidR="00920137" w:rsidRDefault="00920137" w:rsidP="00920137">
      <w:pPr>
        <w:pStyle w:val="Titre3"/>
      </w:pPr>
      <w:r>
        <w:t xml:space="preserve">Interface de commande </w:t>
      </w:r>
    </w:p>
    <w:p w:rsidR="00920137" w:rsidRPr="00AE5C34" w:rsidRDefault="00920137" w:rsidP="00920137">
      <w:r>
        <w:t>Une interface de gestion en ligne de commande permettra d’automatiser la gestion des données du projet par une tache planifié ou un utilisateur final.</w:t>
      </w:r>
    </w:p>
    <w:p w:rsidR="00920137" w:rsidRDefault="00920137" w:rsidP="00920137">
      <w:pPr>
        <w:pStyle w:val="Titre3"/>
      </w:pPr>
      <w:r>
        <w:t xml:space="preserve">Interface de gestion </w:t>
      </w:r>
    </w:p>
    <w:p w:rsidR="00920137" w:rsidRPr="00AE5C34" w:rsidRDefault="00920137" w:rsidP="00920137">
      <w:r>
        <w:t xml:space="preserve">Une interface de gestion homme-machine pour Windows permettra de gérer les données </w:t>
      </w:r>
      <w:r w:rsidR="00953D50">
        <w:t xml:space="preserve">du projet </w:t>
      </w:r>
      <w:r>
        <w:t xml:space="preserve"> par l’utilisateur final.</w:t>
      </w:r>
    </w:p>
    <w:p w:rsidR="00AE5C34" w:rsidRPr="00AE5C34" w:rsidRDefault="00AE5C34" w:rsidP="00920137"/>
    <w:p w:rsidR="00FA5573" w:rsidRDefault="00FA5573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4F10" w:rsidRDefault="001E4F10" w:rsidP="001E4F10">
      <w:pPr>
        <w:pStyle w:val="Titre1"/>
      </w:pPr>
      <w:bookmarkStart w:id="11" w:name="_Toc434340978"/>
      <w:r>
        <w:lastRenderedPageBreak/>
        <w:t>Réalisation</w:t>
      </w:r>
      <w:bookmarkEnd w:id="11"/>
    </w:p>
    <w:p w:rsidR="00F75538" w:rsidRDefault="00F75538" w:rsidP="001E4F10">
      <w:pPr>
        <w:pStyle w:val="Titre2"/>
        <w:sectPr w:rsidR="00F75538" w:rsidSect="003A1E33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D7DEF" w:rsidRDefault="00142547" w:rsidP="001E4F10">
      <w:pPr>
        <w:pStyle w:val="Titre2"/>
      </w:pPr>
      <w:bookmarkStart w:id="12" w:name="_Toc434340979"/>
      <w:r>
        <w:lastRenderedPageBreak/>
        <w:t>Base de données</w:t>
      </w:r>
      <w:bookmarkEnd w:id="12"/>
    </w:p>
    <w:p w:rsidR="00F75538" w:rsidRPr="00051804" w:rsidRDefault="00F75538" w:rsidP="00F75538">
      <w:pPr>
        <w:pStyle w:val="Titre3"/>
      </w:pPr>
      <w:r>
        <w:t>Modèle de la base de données SQL</w:t>
      </w:r>
    </w:p>
    <w:p w:rsidR="00F75538" w:rsidRDefault="00F75538" w:rsidP="00F75538">
      <w:r>
        <w:rPr>
          <w:noProof/>
          <w:lang w:eastAsia="fr-FR"/>
        </w:rPr>
        <w:drawing>
          <wp:inline distT="0" distB="0" distL="0" distR="0" wp14:anchorId="36F1DBEC" wp14:editId="778EBDF4">
            <wp:extent cx="4600575" cy="4435384"/>
            <wp:effectExtent l="19050" t="0" r="9525" b="0"/>
            <wp:docPr id="4" name="Image 3" descr="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3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38" w:rsidRDefault="00F75538" w:rsidP="00F75538">
      <w:pPr>
        <w:pStyle w:val="Titre3"/>
      </w:pPr>
      <w:r>
        <w:br w:type="page"/>
      </w:r>
    </w:p>
    <w:p w:rsidR="008D7DEF" w:rsidRDefault="008D7DEF" w:rsidP="001E4F10">
      <w:pPr>
        <w:pStyle w:val="Titre3"/>
      </w:pPr>
      <w:r>
        <w:lastRenderedPageBreak/>
        <w:t>Tables</w:t>
      </w:r>
    </w:p>
    <w:p w:rsidR="008D7DEF" w:rsidRPr="008451CF" w:rsidRDefault="008D7DEF" w:rsidP="001E4F10">
      <w:r>
        <w:t>Définition des tables SQL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8D7DEF" w:rsidTr="00323388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8D7DEF" w:rsidRPr="002245F7" w:rsidRDefault="008D7DEF" w:rsidP="001E4F10">
            <w:pPr>
              <w:rPr>
                <w:b/>
                <w:sz w:val="24"/>
              </w:rPr>
            </w:pPr>
            <w:proofErr w:type="spellStart"/>
            <w:r w:rsidRPr="002245F7">
              <w:rPr>
                <w:b/>
                <w:sz w:val="24"/>
              </w:rPr>
              <w:t>Employe</w:t>
            </w:r>
            <w:proofErr w:type="spellEnd"/>
          </w:p>
          <w:p w:rsidR="008D7DEF" w:rsidRPr="005C74D3" w:rsidRDefault="008D7DEF" w:rsidP="001E4F10">
            <w:pPr>
              <w:rPr>
                <w:sz w:val="24"/>
              </w:rPr>
            </w:pPr>
            <w:r w:rsidRPr="002245F7">
              <w:rPr>
                <w:sz w:val="20"/>
              </w:rPr>
              <w:t>Employé</w:t>
            </w:r>
          </w:p>
        </w:tc>
      </w:tr>
      <w:tr w:rsidR="008D7DEF" w:rsidTr="00323388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 w:rsidRPr="006317B7">
              <w:rPr>
                <w:sz w:val="18"/>
                <w:szCs w:val="18"/>
              </w:rPr>
              <w:t>varchar</w:t>
            </w:r>
            <w:proofErr w:type="spellEnd"/>
            <w:r w:rsidRPr="006317B7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128</w:t>
            </w:r>
            <w:r w:rsidRPr="006317B7">
              <w:rPr>
                <w:sz w:val="18"/>
                <w:szCs w:val="18"/>
              </w:rPr>
              <w:t>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 w:rsidRPr="006317B7">
              <w:rPr>
                <w:sz w:val="18"/>
                <w:szCs w:val="18"/>
              </w:rPr>
              <w:t>varchar</w:t>
            </w:r>
            <w:proofErr w:type="spellEnd"/>
            <w:r w:rsidRPr="006317B7">
              <w:rPr>
                <w:sz w:val="18"/>
                <w:szCs w:val="18"/>
              </w:rPr>
              <w:t>(250)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8D7DEF" w:rsidTr="00323388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Index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Fields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PK_</w:t>
            </w:r>
            <w:r>
              <w:rPr>
                <w:sz w:val="18"/>
                <w:szCs w:val="18"/>
              </w:rPr>
              <w:t>EMPLOYE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 xml:space="preserve">Clé </w:t>
            </w:r>
            <w:r>
              <w:rPr>
                <w:sz w:val="18"/>
                <w:szCs w:val="18"/>
              </w:rPr>
              <w:t>p</w:t>
            </w:r>
            <w:r w:rsidRPr="006317B7">
              <w:rPr>
                <w:sz w:val="18"/>
                <w:szCs w:val="18"/>
              </w:rPr>
              <w:t>rimaire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FK_</w:t>
            </w:r>
            <w:r>
              <w:rPr>
                <w:sz w:val="18"/>
                <w:szCs w:val="18"/>
              </w:rPr>
              <w:t>EMPLOYE</w:t>
            </w:r>
            <w:r w:rsidRPr="006317B7">
              <w:rPr>
                <w:sz w:val="18"/>
                <w:szCs w:val="18"/>
              </w:rPr>
              <w:t>_R1_</w:t>
            </w: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  <w:r w:rsidRPr="006317B7"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Societe</w:t>
            </w:r>
            <w:r w:rsidRPr="006317B7">
              <w:rPr>
                <w:sz w:val="18"/>
                <w:szCs w:val="18"/>
              </w:rPr>
              <w:t>_Id</w:t>
            </w:r>
            <w:proofErr w:type="spellEnd"/>
            <w:r w:rsidRPr="006317B7">
              <w:rPr>
                <w:sz w:val="18"/>
                <w:szCs w:val="18"/>
              </w:rPr>
              <w:t>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 xml:space="preserve">Clé </w:t>
            </w:r>
            <w:r>
              <w:rPr>
                <w:sz w:val="18"/>
                <w:szCs w:val="18"/>
              </w:rPr>
              <w:t>étrangère</w:t>
            </w:r>
            <w:r w:rsidRPr="006317B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 w:rsidRPr="006317B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 société</w:t>
            </w:r>
          </w:p>
        </w:tc>
      </w:tr>
      <w:tr w:rsidR="008D7DEF" w:rsidTr="00323388"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Trigger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Condition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1E4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8D7DEF" w:rsidRDefault="008D7DEF" w:rsidP="001E4F10"/>
    <w:p w:rsidR="00DC1CC4" w:rsidRDefault="00DC1CC4" w:rsidP="001E4F1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D7DEF" w:rsidRDefault="00DD705C" w:rsidP="001E4F10">
      <w:pPr>
        <w:pStyle w:val="Titre3"/>
      </w:pPr>
      <w:r>
        <w:lastRenderedPageBreak/>
        <w:t>Procédures</w:t>
      </w:r>
      <w:r w:rsidR="009211DB">
        <w:t xml:space="preserve"> stockées</w:t>
      </w:r>
    </w:p>
    <w:p w:rsidR="008D7DEF" w:rsidRPr="008D7DEF" w:rsidRDefault="008D7DEF" w:rsidP="001E4F1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Définition des procédures stockées SQL</w:t>
      </w:r>
      <w:r w:rsidRPr="008D7DEF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8D7DEF">
        <w:rPr>
          <w:rFonts w:asciiTheme="majorHAnsi" w:eastAsiaTheme="majorEastAsia" w:hAnsiTheme="majorHAnsi" w:cstheme="majorBidi"/>
          <w:b/>
          <w:bCs/>
          <w:color w:val="4F81BD" w:themeColor="accent1"/>
        </w:rPr>
        <w:br w:type="page"/>
      </w:r>
    </w:p>
    <w:p w:rsidR="00C607BD" w:rsidRDefault="00DA43F3" w:rsidP="001E4F10">
      <w:pPr>
        <w:pStyle w:val="Titre2"/>
      </w:pPr>
      <w:bookmarkStart w:id="13" w:name="_Toc434337386"/>
      <w:bookmarkStart w:id="14" w:name="_Toc434340980"/>
      <w:r>
        <w:lastRenderedPageBreak/>
        <w:t>Interface</w:t>
      </w:r>
      <w:r w:rsidR="007C638A">
        <w:t xml:space="preserve"> de gestion</w:t>
      </w:r>
      <w:bookmarkEnd w:id="13"/>
      <w:bookmarkEnd w:id="14"/>
    </w:p>
    <w:p w:rsidR="00F75538" w:rsidRDefault="00F75538" w:rsidP="00F75538">
      <w:pPr>
        <w:pStyle w:val="Titre3"/>
      </w:pPr>
      <w:r>
        <w:t>Diagramme de classes</w:t>
      </w:r>
    </w:p>
    <w:p w:rsidR="00F75538" w:rsidRPr="00051804" w:rsidRDefault="00F75538" w:rsidP="00F75538">
      <w:r>
        <w:t>Model de données de l’interface utilisateur</w:t>
      </w:r>
    </w:p>
    <w:p w:rsidR="00F75538" w:rsidRDefault="00F75538" w:rsidP="00F75538">
      <w:pPr>
        <w:sectPr w:rsidR="00F75538" w:rsidSect="003A1E33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fr-FR"/>
        </w:rPr>
        <w:drawing>
          <wp:inline distT="0" distB="0" distL="0" distR="0" wp14:anchorId="55A8B6F4" wp14:editId="447F80B0">
            <wp:extent cx="8430802" cy="4772691"/>
            <wp:effectExtent l="19050" t="0" r="8348" b="0"/>
            <wp:docPr id="6" name="Image 5" descr="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47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1CF">
        <w:t xml:space="preserve"> </w:t>
      </w:r>
      <w:r>
        <w:br w:type="page"/>
      </w:r>
    </w:p>
    <w:p w:rsidR="008451CF" w:rsidRDefault="004D2621" w:rsidP="001E4F10">
      <w:pPr>
        <w:pStyle w:val="Titre3"/>
      </w:pPr>
      <w:bookmarkStart w:id="15" w:name="_GoBack"/>
      <w:bookmarkEnd w:id="15"/>
      <w:r>
        <w:lastRenderedPageBreak/>
        <w:t>E</w:t>
      </w:r>
      <w:r w:rsidR="008451CF">
        <w:t>ntités</w:t>
      </w:r>
    </w:p>
    <w:p w:rsidR="00EC249F" w:rsidRPr="008451CF" w:rsidRDefault="00EC249F" w:rsidP="00EC249F">
      <w:r>
        <w:t>Définition des classes d’entités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857"/>
        <w:gridCol w:w="2821"/>
        <w:gridCol w:w="7542"/>
      </w:tblGrid>
      <w:tr w:rsidR="00C64B07" w:rsidTr="00552B02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2245F7" w:rsidRPr="002245F7" w:rsidRDefault="00C64B07" w:rsidP="00323388">
            <w:pPr>
              <w:rPr>
                <w:b/>
                <w:sz w:val="24"/>
              </w:rPr>
            </w:pPr>
            <w:proofErr w:type="spellStart"/>
            <w:r w:rsidRPr="002245F7">
              <w:rPr>
                <w:b/>
                <w:sz w:val="24"/>
              </w:rPr>
              <w:t>Employe</w:t>
            </w:r>
            <w:proofErr w:type="spellEnd"/>
          </w:p>
          <w:p w:rsidR="00C64B07" w:rsidRPr="005C74D3" w:rsidRDefault="00C64B07" w:rsidP="00323388">
            <w:pPr>
              <w:rPr>
                <w:sz w:val="24"/>
              </w:rPr>
            </w:pPr>
            <w:r w:rsidRPr="002245F7">
              <w:rPr>
                <w:sz w:val="20"/>
              </w:rPr>
              <w:t>Employé</w:t>
            </w:r>
          </w:p>
        </w:tc>
      </w:tr>
      <w:tr w:rsidR="00C64B07" w:rsidTr="00552B02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C64B07" w:rsidTr="00552B02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</w:tbl>
    <w:p w:rsidR="00210C45" w:rsidRPr="001645FE" w:rsidRDefault="00210C45" w:rsidP="00B510A0"/>
    <w:sectPr w:rsidR="00210C45" w:rsidRPr="001645FE" w:rsidSect="00F75538"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8BC"/>
    <w:multiLevelType w:val="hybridMultilevel"/>
    <w:tmpl w:val="D5E89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7303"/>
    <w:multiLevelType w:val="hybridMultilevel"/>
    <w:tmpl w:val="0F0CB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3F62"/>
    <w:multiLevelType w:val="hybridMultilevel"/>
    <w:tmpl w:val="92E60E6E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 w15:restartNumberingAfterBreak="0">
    <w:nsid w:val="13543DA0"/>
    <w:multiLevelType w:val="hybridMultilevel"/>
    <w:tmpl w:val="D0909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4482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42E17"/>
    <w:multiLevelType w:val="hybridMultilevel"/>
    <w:tmpl w:val="AAC6E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B5545"/>
    <w:multiLevelType w:val="hybridMultilevel"/>
    <w:tmpl w:val="FCD04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34D4E"/>
    <w:multiLevelType w:val="hybridMultilevel"/>
    <w:tmpl w:val="F9E0D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779D4"/>
    <w:multiLevelType w:val="hybridMultilevel"/>
    <w:tmpl w:val="10F49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8C5"/>
    <w:multiLevelType w:val="hybridMultilevel"/>
    <w:tmpl w:val="F7E0E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215AF"/>
    <w:multiLevelType w:val="hybridMultilevel"/>
    <w:tmpl w:val="FE4C3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E6318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A34B6"/>
    <w:multiLevelType w:val="hybridMultilevel"/>
    <w:tmpl w:val="F1CCC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2CF5"/>
    <w:multiLevelType w:val="hybridMultilevel"/>
    <w:tmpl w:val="F1E2F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56B7D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E084D"/>
    <w:multiLevelType w:val="hybridMultilevel"/>
    <w:tmpl w:val="39CA7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B3B42"/>
    <w:multiLevelType w:val="hybridMultilevel"/>
    <w:tmpl w:val="4588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31ACE"/>
    <w:multiLevelType w:val="hybridMultilevel"/>
    <w:tmpl w:val="F94EB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7621B"/>
    <w:multiLevelType w:val="hybridMultilevel"/>
    <w:tmpl w:val="79E27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C211F"/>
    <w:multiLevelType w:val="hybridMultilevel"/>
    <w:tmpl w:val="DA6E6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B0C2B"/>
    <w:multiLevelType w:val="hybridMultilevel"/>
    <w:tmpl w:val="014C1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17CD6"/>
    <w:multiLevelType w:val="hybridMultilevel"/>
    <w:tmpl w:val="CACC96CA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2" w15:restartNumberingAfterBreak="0">
    <w:nsid w:val="73221E3F"/>
    <w:multiLevelType w:val="hybridMultilevel"/>
    <w:tmpl w:val="05E45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51D89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24716"/>
    <w:multiLevelType w:val="hybridMultilevel"/>
    <w:tmpl w:val="9DCE89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E7125"/>
    <w:multiLevelType w:val="hybridMultilevel"/>
    <w:tmpl w:val="2A50B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19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24"/>
  </w:num>
  <w:num w:numId="13">
    <w:abstractNumId w:val="17"/>
  </w:num>
  <w:num w:numId="14">
    <w:abstractNumId w:val="5"/>
  </w:num>
  <w:num w:numId="15">
    <w:abstractNumId w:val="14"/>
  </w:num>
  <w:num w:numId="16">
    <w:abstractNumId w:val="23"/>
  </w:num>
  <w:num w:numId="17">
    <w:abstractNumId w:val="20"/>
  </w:num>
  <w:num w:numId="18">
    <w:abstractNumId w:val="3"/>
  </w:num>
  <w:num w:numId="19">
    <w:abstractNumId w:val="1"/>
  </w:num>
  <w:num w:numId="20">
    <w:abstractNumId w:val="22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8285B"/>
    <w:rsid w:val="000002B7"/>
    <w:rsid w:val="00000545"/>
    <w:rsid w:val="00024591"/>
    <w:rsid w:val="00025E60"/>
    <w:rsid w:val="00034FCE"/>
    <w:rsid w:val="00036785"/>
    <w:rsid w:val="00036AC2"/>
    <w:rsid w:val="00036FC8"/>
    <w:rsid w:val="000435FC"/>
    <w:rsid w:val="0004445D"/>
    <w:rsid w:val="000462F5"/>
    <w:rsid w:val="00051804"/>
    <w:rsid w:val="000578D6"/>
    <w:rsid w:val="00062A36"/>
    <w:rsid w:val="00063137"/>
    <w:rsid w:val="000652C0"/>
    <w:rsid w:val="000664AD"/>
    <w:rsid w:val="000721FE"/>
    <w:rsid w:val="00072EAB"/>
    <w:rsid w:val="000973B5"/>
    <w:rsid w:val="000A2F6C"/>
    <w:rsid w:val="000A7BEC"/>
    <w:rsid w:val="000B21B0"/>
    <w:rsid w:val="000B38C8"/>
    <w:rsid w:val="000B6008"/>
    <w:rsid w:val="000B6707"/>
    <w:rsid w:val="000B7061"/>
    <w:rsid w:val="000C2462"/>
    <w:rsid w:val="000D446B"/>
    <w:rsid w:val="000D5322"/>
    <w:rsid w:val="000D6FB1"/>
    <w:rsid w:val="000E697E"/>
    <w:rsid w:val="000E6F9E"/>
    <w:rsid w:val="001225BB"/>
    <w:rsid w:val="00125E1B"/>
    <w:rsid w:val="001268A0"/>
    <w:rsid w:val="00130149"/>
    <w:rsid w:val="00132873"/>
    <w:rsid w:val="00141E25"/>
    <w:rsid w:val="00142547"/>
    <w:rsid w:val="00144F1B"/>
    <w:rsid w:val="001456DF"/>
    <w:rsid w:val="00151140"/>
    <w:rsid w:val="001645FE"/>
    <w:rsid w:val="001719AE"/>
    <w:rsid w:val="00181007"/>
    <w:rsid w:val="001938CA"/>
    <w:rsid w:val="00196020"/>
    <w:rsid w:val="00196FC7"/>
    <w:rsid w:val="001B2216"/>
    <w:rsid w:val="001B2BD4"/>
    <w:rsid w:val="001B4240"/>
    <w:rsid w:val="001E2B45"/>
    <w:rsid w:val="001E4F10"/>
    <w:rsid w:val="001E57B6"/>
    <w:rsid w:val="001F2462"/>
    <w:rsid w:val="001F5102"/>
    <w:rsid w:val="001F624E"/>
    <w:rsid w:val="001F773E"/>
    <w:rsid w:val="002020F5"/>
    <w:rsid w:val="00202D8B"/>
    <w:rsid w:val="00210C45"/>
    <w:rsid w:val="00222C48"/>
    <w:rsid w:val="0022408A"/>
    <w:rsid w:val="002245F7"/>
    <w:rsid w:val="00226990"/>
    <w:rsid w:val="00232742"/>
    <w:rsid w:val="002348DD"/>
    <w:rsid w:val="00243969"/>
    <w:rsid w:val="00265B86"/>
    <w:rsid w:val="0026665B"/>
    <w:rsid w:val="00267FA6"/>
    <w:rsid w:val="0027243C"/>
    <w:rsid w:val="00291CE9"/>
    <w:rsid w:val="00296EA3"/>
    <w:rsid w:val="002B3E16"/>
    <w:rsid w:val="002B4745"/>
    <w:rsid w:val="002B53BD"/>
    <w:rsid w:val="002D0773"/>
    <w:rsid w:val="002D2036"/>
    <w:rsid w:val="002D6CEC"/>
    <w:rsid w:val="002D6F18"/>
    <w:rsid w:val="002D709F"/>
    <w:rsid w:val="002D7F16"/>
    <w:rsid w:val="002E05F5"/>
    <w:rsid w:val="002E1079"/>
    <w:rsid w:val="002E1442"/>
    <w:rsid w:val="002E6EFE"/>
    <w:rsid w:val="00302261"/>
    <w:rsid w:val="00302C04"/>
    <w:rsid w:val="003041BE"/>
    <w:rsid w:val="00311322"/>
    <w:rsid w:val="0031571B"/>
    <w:rsid w:val="00316BA1"/>
    <w:rsid w:val="00321312"/>
    <w:rsid w:val="00323388"/>
    <w:rsid w:val="00325308"/>
    <w:rsid w:val="0033173F"/>
    <w:rsid w:val="00350184"/>
    <w:rsid w:val="003528F9"/>
    <w:rsid w:val="003611D2"/>
    <w:rsid w:val="00366F7F"/>
    <w:rsid w:val="00372EBB"/>
    <w:rsid w:val="003752B3"/>
    <w:rsid w:val="00375B14"/>
    <w:rsid w:val="003816E3"/>
    <w:rsid w:val="003855BC"/>
    <w:rsid w:val="00390339"/>
    <w:rsid w:val="00390DA1"/>
    <w:rsid w:val="00393F8D"/>
    <w:rsid w:val="00395D92"/>
    <w:rsid w:val="0039788A"/>
    <w:rsid w:val="003A1E33"/>
    <w:rsid w:val="003A3997"/>
    <w:rsid w:val="003A5CB8"/>
    <w:rsid w:val="003A7F21"/>
    <w:rsid w:val="003C0EFD"/>
    <w:rsid w:val="003C5733"/>
    <w:rsid w:val="003D22D4"/>
    <w:rsid w:val="003E6547"/>
    <w:rsid w:val="003F3765"/>
    <w:rsid w:val="003F58E1"/>
    <w:rsid w:val="003F5CBF"/>
    <w:rsid w:val="00402465"/>
    <w:rsid w:val="00407B8E"/>
    <w:rsid w:val="004112DC"/>
    <w:rsid w:val="00421D58"/>
    <w:rsid w:val="00422E36"/>
    <w:rsid w:val="0042521F"/>
    <w:rsid w:val="00427FCD"/>
    <w:rsid w:val="004307E5"/>
    <w:rsid w:val="00431168"/>
    <w:rsid w:val="0043156F"/>
    <w:rsid w:val="0043206C"/>
    <w:rsid w:val="004328D2"/>
    <w:rsid w:val="004359DB"/>
    <w:rsid w:val="00444412"/>
    <w:rsid w:val="00460667"/>
    <w:rsid w:val="00481EF5"/>
    <w:rsid w:val="00484BDF"/>
    <w:rsid w:val="00490A3E"/>
    <w:rsid w:val="004915FA"/>
    <w:rsid w:val="00492998"/>
    <w:rsid w:val="004968E7"/>
    <w:rsid w:val="00497103"/>
    <w:rsid w:val="004A5C20"/>
    <w:rsid w:val="004B710F"/>
    <w:rsid w:val="004C2A87"/>
    <w:rsid w:val="004C5E2E"/>
    <w:rsid w:val="004D1CAB"/>
    <w:rsid w:val="004D2621"/>
    <w:rsid w:val="004D57BC"/>
    <w:rsid w:val="004E20D3"/>
    <w:rsid w:val="004E4316"/>
    <w:rsid w:val="004F2343"/>
    <w:rsid w:val="004F6D7E"/>
    <w:rsid w:val="005017DF"/>
    <w:rsid w:val="005069E4"/>
    <w:rsid w:val="00511CE3"/>
    <w:rsid w:val="00512177"/>
    <w:rsid w:val="005258BB"/>
    <w:rsid w:val="00530E0D"/>
    <w:rsid w:val="00535BC0"/>
    <w:rsid w:val="00543213"/>
    <w:rsid w:val="00550212"/>
    <w:rsid w:val="005510A7"/>
    <w:rsid w:val="00551C0C"/>
    <w:rsid w:val="00552B02"/>
    <w:rsid w:val="005715CE"/>
    <w:rsid w:val="00571D58"/>
    <w:rsid w:val="00581A2A"/>
    <w:rsid w:val="00590E53"/>
    <w:rsid w:val="005977AC"/>
    <w:rsid w:val="005A20A5"/>
    <w:rsid w:val="005C66C8"/>
    <w:rsid w:val="005D2427"/>
    <w:rsid w:val="005F7852"/>
    <w:rsid w:val="006202E6"/>
    <w:rsid w:val="00620723"/>
    <w:rsid w:val="00620860"/>
    <w:rsid w:val="00621252"/>
    <w:rsid w:val="00627E78"/>
    <w:rsid w:val="0063202C"/>
    <w:rsid w:val="006360BB"/>
    <w:rsid w:val="00642143"/>
    <w:rsid w:val="006435B0"/>
    <w:rsid w:val="00654616"/>
    <w:rsid w:val="0065717E"/>
    <w:rsid w:val="006619DF"/>
    <w:rsid w:val="00664B96"/>
    <w:rsid w:val="00675D4C"/>
    <w:rsid w:val="00680105"/>
    <w:rsid w:val="00682FBD"/>
    <w:rsid w:val="006873B3"/>
    <w:rsid w:val="0068784B"/>
    <w:rsid w:val="0069003B"/>
    <w:rsid w:val="00691B5B"/>
    <w:rsid w:val="00697FB5"/>
    <w:rsid w:val="006A6C2C"/>
    <w:rsid w:val="006C1FCC"/>
    <w:rsid w:val="006C4E9A"/>
    <w:rsid w:val="006D348E"/>
    <w:rsid w:val="006D3EE7"/>
    <w:rsid w:val="006E1796"/>
    <w:rsid w:val="006E20C6"/>
    <w:rsid w:val="006F402A"/>
    <w:rsid w:val="006F5788"/>
    <w:rsid w:val="006F5EC0"/>
    <w:rsid w:val="006F6E42"/>
    <w:rsid w:val="00704DC2"/>
    <w:rsid w:val="00717803"/>
    <w:rsid w:val="00722802"/>
    <w:rsid w:val="00724109"/>
    <w:rsid w:val="00745FC0"/>
    <w:rsid w:val="007612F2"/>
    <w:rsid w:val="00761E18"/>
    <w:rsid w:val="0076508A"/>
    <w:rsid w:val="0077540D"/>
    <w:rsid w:val="007758D9"/>
    <w:rsid w:val="0078285B"/>
    <w:rsid w:val="00782EB7"/>
    <w:rsid w:val="0079461F"/>
    <w:rsid w:val="00794E9F"/>
    <w:rsid w:val="007B3DAE"/>
    <w:rsid w:val="007B4F91"/>
    <w:rsid w:val="007C638A"/>
    <w:rsid w:val="007D0A88"/>
    <w:rsid w:val="007D529F"/>
    <w:rsid w:val="007E0B43"/>
    <w:rsid w:val="007E7EA5"/>
    <w:rsid w:val="007F7812"/>
    <w:rsid w:val="00806C1F"/>
    <w:rsid w:val="00814736"/>
    <w:rsid w:val="008156C2"/>
    <w:rsid w:val="008177CB"/>
    <w:rsid w:val="0082442E"/>
    <w:rsid w:val="008263BD"/>
    <w:rsid w:val="00827A4E"/>
    <w:rsid w:val="00837217"/>
    <w:rsid w:val="008412A5"/>
    <w:rsid w:val="00844863"/>
    <w:rsid w:val="008451CF"/>
    <w:rsid w:val="0084578B"/>
    <w:rsid w:val="00846E05"/>
    <w:rsid w:val="00860A09"/>
    <w:rsid w:val="00862B10"/>
    <w:rsid w:val="00865F19"/>
    <w:rsid w:val="00871124"/>
    <w:rsid w:val="0088207C"/>
    <w:rsid w:val="00885A49"/>
    <w:rsid w:val="00890622"/>
    <w:rsid w:val="00893030"/>
    <w:rsid w:val="008B0CE9"/>
    <w:rsid w:val="008B128A"/>
    <w:rsid w:val="008C0E57"/>
    <w:rsid w:val="008C3B2C"/>
    <w:rsid w:val="008D7DEF"/>
    <w:rsid w:val="008E406C"/>
    <w:rsid w:val="008F1ABA"/>
    <w:rsid w:val="008F787C"/>
    <w:rsid w:val="009009A4"/>
    <w:rsid w:val="00901265"/>
    <w:rsid w:val="009171B0"/>
    <w:rsid w:val="00920137"/>
    <w:rsid w:val="009211DB"/>
    <w:rsid w:val="00926329"/>
    <w:rsid w:val="0094447B"/>
    <w:rsid w:val="00947873"/>
    <w:rsid w:val="00953D50"/>
    <w:rsid w:val="00955057"/>
    <w:rsid w:val="00957D6D"/>
    <w:rsid w:val="00960814"/>
    <w:rsid w:val="00970E02"/>
    <w:rsid w:val="00993048"/>
    <w:rsid w:val="00996F52"/>
    <w:rsid w:val="009A1BD9"/>
    <w:rsid w:val="009B271D"/>
    <w:rsid w:val="009B5145"/>
    <w:rsid w:val="009B647C"/>
    <w:rsid w:val="009B652E"/>
    <w:rsid w:val="009C479A"/>
    <w:rsid w:val="009C6B35"/>
    <w:rsid w:val="009D47D5"/>
    <w:rsid w:val="00A03B18"/>
    <w:rsid w:val="00A22D33"/>
    <w:rsid w:val="00A31B21"/>
    <w:rsid w:val="00A33DF4"/>
    <w:rsid w:val="00A40D4D"/>
    <w:rsid w:val="00A44DE8"/>
    <w:rsid w:val="00A50A1C"/>
    <w:rsid w:val="00A53177"/>
    <w:rsid w:val="00A61A73"/>
    <w:rsid w:val="00A635B4"/>
    <w:rsid w:val="00A6558B"/>
    <w:rsid w:val="00A70DA1"/>
    <w:rsid w:val="00A73574"/>
    <w:rsid w:val="00A81A9A"/>
    <w:rsid w:val="00A91E64"/>
    <w:rsid w:val="00AA2106"/>
    <w:rsid w:val="00AC0A57"/>
    <w:rsid w:val="00AC3B29"/>
    <w:rsid w:val="00AC5392"/>
    <w:rsid w:val="00AE05DA"/>
    <w:rsid w:val="00AE5C34"/>
    <w:rsid w:val="00B06151"/>
    <w:rsid w:val="00B21F83"/>
    <w:rsid w:val="00B36396"/>
    <w:rsid w:val="00B42931"/>
    <w:rsid w:val="00B510A0"/>
    <w:rsid w:val="00B57104"/>
    <w:rsid w:val="00B57300"/>
    <w:rsid w:val="00B606A6"/>
    <w:rsid w:val="00B60785"/>
    <w:rsid w:val="00B77122"/>
    <w:rsid w:val="00B83D7D"/>
    <w:rsid w:val="00B845E3"/>
    <w:rsid w:val="00B873FB"/>
    <w:rsid w:val="00B95B1D"/>
    <w:rsid w:val="00BA19A4"/>
    <w:rsid w:val="00BA2376"/>
    <w:rsid w:val="00BA7031"/>
    <w:rsid w:val="00BB051F"/>
    <w:rsid w:val="00BB2864"/>
    <w:rsid w:val="00BB707A"/>
    <w:rsid w:val="00BC639B"/>
    <w:rsid w:val="00BD1258"/>
    <w:rsid w:val="00BD60FE"/>
    <w:rsid w:val="00BD6AE9"/>
    <w:rsid w:val="00BE64EF"/>
    <w:rsid w:val="00BF1DC1"/>
    <w:rsid w:val="00BF44A6"/>
    <w:rsid w:val="00BF5F53"/>
    <w:rsid w:val="00C00E2E"/>
    <w:rsid w:val="00C0579A"/>
    <w:rsid w:val="00C12F17"/>
    <w:rsid w:val="00C3646C"/>
    <w:rsid w:val="00C450B7"/>
    <w:rsid w:val="00C47CC3"/>
    <w:rsid w:val="00C607BD"/>
    <w:rsid w:val="00C64B07"/>
    <w:rsid w:val="00C6790B"/>
    <w:rsid w:val="00C710DD"/>
    <w:rsid w:val="00C71F42"/>
    <w:rsid w:val="00C7389D"/>
    <w:rsid w:val="00C7562B"/>
    <w:rsid w:val="00C75648"/>
    <w:rsid w:val="00C760FF"/>
    <w:rsid w:val="00C83D99"/>
    <w:rsid w:val="00C85510"/>
    <w:rsid w:val="00C868E9"/>
    <w:rsid w:val="00CA266F"/>
    <w:rsid w:val="00CB04AD"/>
    <w:rsid w:val="00CB5B8A"/>
    <w:rsid w:val="00CB6A90"/>
    <w:rsid w:val="00CD120C"/>
    <w:rsid w:val="00CD26B8"/>
    <w:rsid w:val="00CD553F"/>
    <w:rsid w:val="00CD7E0B"/>
    <w:rsid w:val="00CE6332"/>
    <w:rsid w:val="00D03AC3"/>
    <w:rsid w:val="00D079E6"/>
    <w:rsid w:val="00D12D99"/>
    <w:rsid w:val="00D262DA"/>
    <w:rsid w:val="00D26FA5"/>
    <w:rsid w:val="00D337FF"/>
    <w:rsid w:val="00D34BA5"/>
    <w:rsid w:val="00D4047F"/>
    <w:rsid w:val="00D42709"/>
    <w:rsid w:val="00D603BB"/>
    <w:rsid w:val="00D6163F"/>
    <w:rsid w:val="00D666C8"/>
    <w:rsid w:val="00D733DE"/>
    <w:rsid w:val="00D908A2"/>
    <w:rsid w:val="00D90EA9"/>
    <w:rsid w:val="00D91FE1"/>
    <w:rsid w:val="00D927AD"/>
    <w:rsid w:val="00D92B96"/>
    <w:rsid w:val="00DA43AA"/>
    <w:rsid w:val="00DA43F3"/>
    <w:rsid w:val="00DA4E72"/>
    <w:rsid w:val="00DC1CC4"/>
    <w:rsid w:val="00DC52AC"/>
    <w:rsid w:val="00DD2241"/>
    <w:rsid w:val="00DD3DA1"/>
    <w:rsid w:val="00DD705C"/>
    <w:rsid w:val="00DE129D"/>
    <w:rsid w:val="00DF79B4"/>
    <w:rsid w:val="00E12A8B"/>
    <w:rsid w:val="00E16BF1"/>
    <w:rsid w:val="00E31715"/>
    <w:rsid w:val="00E33281"/>
    <w:rsid w:val="00E34121"/>
    <w:rsid w:val="00E362F1"/>
    <w:rsid w:val="00E43D1E"/>
    <w:rsid w:val="00E563DE"/>
    <w:rsid w:val="00E623B1"/>
    <w:rsid w:val="00E62D81"/>
    <w:rsid w:val="00E63B1D"/>
    <w:rsid w:val="00E70CC0"/>
    <w:rsid w:val="00E737DA"/>
    <w:rsid w:val="00E83844"/>
    <w:rsid w:val="00E95A13"/>
    <w:rsid w:val="00EB155A"/>
    <w:rsid w:val="00EB2CCF"/>
    <w:rsid w:val="00EB380B"/>
    <w:rsid w:val="00EB69E9"/>
    <w:rsid w:val="00EC249F"/>
    <w:rsid w:val="00EC2919"/>
    <w:rsid w:val="00EC45FD"/>
    <w:rsid w:val="00ED3AC9"/>
    <w:rsid w:val="00ED4B2A"/>
    <w:rsid w:val="00EE3D9F"/>
    <w:rsid w:val="00EF01C8"/>
    <w:rsid w:val="00F16E4B"/>
    <w:rsid w:val="00F23EE4"/>
    <w:rsid w:val="00F27DFB"/>
    <w:rsid w:val="00F27E7C"/>
    <w:rsid w:val="00F30216"/>
    <w:rsid w:val="00F33D68"/>
    <w:rsid w:val="00F362B4"/>
    <w:rsid w:val="00F42307"/>
    <w:rsid w:val="00F44065"/>
    <w:rsid w:val="00F4499D"/>
    <w:rsid w:val="00F530ED"/>
    <w:rsid w:val="00F5683F"/>
    <w:rsid w:val="00F60CC5"/>
    <w:rsid w:val="00F65F53"/>
    <w:rsid w:val="00F73774"/>
    <w:rsid w:val="00F75538"/>
    <w:rsid w:val="00F76EB6"/>
    <w:rsid w:val="00F858F1"/>
    <w:rsid w:val="00F85A47"/>
    <w:rsid w:val="00F8649C"/>
    <w:rsid w:val="00F87A4E"/>
    <w:rsid w:val="00FA2812"/>
    <w:rsid w:val="00FA4006"/>
    <w:rsid w:val="00FA5573"/>
    <w:rsid w:val="00FB16E7"/>
    <w:rsid w:val="00FD11CF"/>
    <w:rsid w:val="00FE0351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C89107-4BF9-4A0B-A815-912736E2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17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A7F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63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8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8285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8285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782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A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Ombrageclair1">
    <w:name w:val="Ombrage clair1"/>
    <w:basedOn w:val="TableauNormal"/>
    <w:uiPriority w:val="60"/>
    <w:rsid w:val="00D427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E563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761E1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44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446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D44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D44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D44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D446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2521F"/>
    <w:pPr>
      <w:ind w:left="720"/>
      <w:contextualSpacing/>
    </w:pPr>
  </w:style>
  <w:style w:type="table" w:customStyle="1" w:styleId="Listeclaire-Accent11">
    <w:name w:val="Liste claire - Accent 11"/>
    <w:basedOn w:val="TableauNormal"/>
    <w:uiPriority w:val="61"/>
    <w:rsid w:val="00F87A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2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2015-10-22T00:00:00</PublishDate>
  <Abstract>Système de documentation.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68C35F-915C-4BFC-BA7D-69C2F8B2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8348</TotalTime>
  <Pages>12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Syntaxi</vt:lpstr>
    </vt:vector>
  </TitlesOfParts>
  <Company>ASPI</Company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Syntaxi</dc:title>
  <dc:subject>Extracteur de documentation</dc:subject>
  <dc:creator>Thomas Auguey</dc:creator>
  <cp:lastModifiedBy>thomas auguey</cp:lastModifiedBy>
  <cp:revision>261</cp:revision>
  <dcterms:created xsi:type="dcterms:W3CDTF">2015-10-02T07:38:00Z</dcterms:created>
  <dcterms:modified xsi:type="dcterms:W3CDTF">2015-11-03T18:08:00Z</dcterms:modified>
</cp:coreProperties>
</file>