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300C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1300C">
            <w:rPr>
              <w:noProof/>
            </w:rPr>
            <w:pict>
              <v:group id="_x0000_s1053" style="position:absolute;margin-left:5401.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30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(upload/download)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(Upload) /  Téléchargement (Download)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A46DE3">
        <w:rPr>
          <w:b/>
        </w:rPr>
        <w:t>io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8617858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8617859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48617860"/>
      <w:bookmarkStart w:id="11" w:name="_Toc334797623"/>
      <w:r>
        <w:lastRenderedPageBreak/>
        <w:t>Operations système</w:t>
      </w:r>
      <w:bookmarkEnd w:id="10"/>
    </w:p>
    <w:p w:rsidR="00D20A87" w:rsidRDefault="00D20A87" w:rsidP="00D20A87">
      <w:bookmarkStart w:id="12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8617861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8617862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8617863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8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8617864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8617865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P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122BB9" w:rsidRDefault="00122BB9" w:rsidP="00122BB9">
      <w:pPr>
        <w:pStyle w:val="Titre3"/>
      </w:pPr>
      <w:bookmarkStart w:id="21" w:name="_Toc348617866"/>
      <w:r w:rsidRPr="00511C39">
        <w:t xml:space="preserve">Détail </w:t>
      </w:r>
      <w:r>
        <w:t xml:space="preserve">des </w:t>
      </w:r>
      <w:bookmarkEnd w:id="21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2" w:name="_Toc348617867"/>
      <w:r>
        <w:lastRenderedPageBreak/>
        <w:t>Cas d’utilisation</w:t>
      </w:r>
      <w:bookmarkStart w:id="23" w:name="_Toc334797630"/>
      <w:bookmarkEnd w:id="18"/>
      <w:bookmarkEnd w:id="22"/>
    </w:p>
    <w:bookmarkEnd w:id="23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B43221" w:rsidP="00AB65C1">
      <w:pPr>
        <w:pStyle w:val="Titre3"/>
      </w:pPr>
      <w:r>
        <w:lastRenderedPageBreak/>
        <w:t>Débuter</w:t>
      </w:r>
      <w:r w:rsidR="00AB65C1">
        <w:t xml:space="preserve"> un </w:t>
      </w:r>
      <w:r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  <w:t>create_</w:t>
      </w:r>
      <w:r w:rsidR="00857653">
        <w:t>upload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4" w:name="_Toc334797631"/>
      <w:r>
        <w:br w:type="page"/>
      </w:r>
      <w:bookmarkEnd w:id="24"/>
    </w:p>
    <w:p w:rsidR="00626E1F" w:rsidRDefault="00626E1F" w:rsidP="00626E1F">
      <w:pPr>
        <w:pStyle w:val="Titre1"/>
      </w:pPr>
      <w:bookmarkStart w:id="25" w:name="_Toc348617869"/>
      <w:r>
        <w:lastRenderedPageBreak/>
        <w:t>D</w:t>
      </w:r>
      <w:r w:rsidR="00CA1E53">
        <w:t>é</w:t>
      </w:r>
      <w:r>
        <w:t>veloppement</w:t>
      </w:r>
      <w:bookmarkEnd w:id="25"/>
    </w:p>
    <w:p w:rsidR="00E80BCE" w:rsidRDefault="00634484" w:rsidP="00E80BCE">
      <w:pPr>
        <w:pStyle w:val="Titre2"/>
      </w:pPr>
      <w:bookmarkStart w:id="26" w:name="_Toc348617870"/>
      <w:r>
        <w:t>Point d’entrée de l’application</w:t>
      </w:r>
      <w:bookmarkEnd w:id="26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lib/mail/mail</w:t>
      </w:r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="00EC0A3E">
        <w:rPr>
          <w:rStyle w:val="lev"/>
        </w:rPr>
        <w:t>Mailing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27" w:name="_Toc348617871"/>
      <w:r>
        <w:t>Modèle MVC</w:t>
      </w:r>
      <w:bookmarkEnd w:id="27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1C0327" w:rsidRPr="00282E76">
        <w:rPr>
          <w:rStyle w:val="Accentuation"/>
        </w:rPr>
        <w:t>wfw-1.x/</w:t>
      </w:r>
      <w:r w:rsidR="00282E76">
        <w:rPr>
          <w:rStyle w:val="Accentuation"/>
        </w:rPr>
        <w:t>view</w:t>
      </w:r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1C0327" w:rsidRPr="00282E76">
        <w:rPr>
          <w:rStyle w:val="Accentuation"/>
        </w:rPr>
        <w:t>wfw-1.x/</w:t>
      </w:r>
      <w:r w:rsidR="001C0327">
        <w:rPr>
          <w:rStyle w:val="Accentuation"/>
        </w:rPr>
        <w:t>ctrl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28" w:name="_Toc348617872"/>
      <w:r>
        <w:t>API Références</w:t>
      </w:r>
      <w:bookmarkEnd w:id="28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29" w:name="_Toc348617873"/>
      <w:r>
        <w:t>Modèle objet et Classes Managers</w:t>
      </w:r>
      <w:bookmarkEnd w:id="29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0" w:name="_Toc348617874"/>
      <w:r>
        <w:lastRenderedPageBreak/>
        <w:t>Paramètres</w:t>
      </w:r>
      <w:r w:rsidR="00032273">
        <w:t xml:space="preserve"> </w:t>
      </w:r>
      <w:r w:rsidR="004334B1">
        <w:t>de configuration</w:t>
      </w:r>
      <w:bookmarkEnd w:id="30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io_module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A4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5C6A3E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${io_module_path}/ctrl/io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upload_dir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r>
              <w:rPr>
                <w:rFonts w:asciiTheme="minorHAnsi" w:hAnsiTheme="minorHAnsi"/>
                <w:szCs w:val="20"/>
              </w:rPr>
              <w:t>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public_output_dir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bin/upload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max_upload_size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packet_size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Taille </w:t>
            </w:r>
            <w:r>
              <w:t>des paquets</w:t>
            </w:r>
            <w:r>
              <w:t xml:space="preserve"> accepté pour les </w:t>
            </w:r>
            <w:r>
              <w:t>envois</w:t>
            </w:r>
            <w:r>
              <w:t xml:space="preserve">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storage_mode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r w:rsidRPr="00B5124D">
              <w:rPr>
                <w:rStyle w:val="Accentuation"/>
              </w:rPr>
              <w:t>upload_dir</w:t>
            </w:r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r w:rsidR="003E654D" w:rsidRPr="00400071">
        <w:rPr>
          <w:rStyle w:val="Accentuation"/>
        </w:rPr>
        <w:t>begin_upload</w:t>
      </w:r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pour </w:t>
      </w:r>
      <w:r w:rsidR="00400071">
        <w:t>tous les</w:t>
      </w:r>
      <w:r>
        <w:t xml:space="preserve"> utilisateur</w:t>
      </w:r>
      <w:r w:rsidR="00400071">
        <w:t>s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[io_module:public_output_dir]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 par la </w:t>
      </w:r>
      <w:r w:rsidR="003E654D">
        <w:t xml:space="preserve">variable de configuration </w:t>
      </w:r>
      <w:r w:rsidR="003E654D" w:rsidRPr="003E654D">
        <w:rPr>
          <w:rStyle w:val="Accentuation"/>
        </w:rPr>
        <w:t>[io_module:</w:t>
      </w:r>
      <w:r w:rsidR="003E654D" w:rsidRPr="003E654D">
        <w:rPr>
          <w:rStyle w:val="Accentuation"/>
        </w:rPr>
        <w:t>max_upload_size</w:t>
      </w:r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paquets est définit</w:t>
      </w:r>
      <w:r>
        <w:t xml:space="preserve"> par la variable de configuration </w:t>
      </w:r>
      <w:r w:rsidRPr="003E654D">
        <w:rPr>
          <w:rStyle w:val="Accentuation"/>
        </w:rPr>
        <w:t>[io_module:</w:t>
      </w:r>
      <w:r>
        <w:rPr>
          <w:rStyle w:val="Accentuation"/>
        </w:rPr>
        <w:t>packet_size</w:t>
      </w:r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  <w:bookmarkStart w:id="31" w:name="_GoBack"/>
      <w:bookmarkEnd w:id="31"/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r w:rsidRPr="00400071">
        <w:rPr>
          <w:rStyle w:val="Accentuation"/>
        </w:rPr>
        <w:t>create_</w:t>
      </w:r>
      <w:r w:rsidRPr="00400071">
        <w:rPr>
          <w:rStyle w:val="Accentuation"/>
        </w:rPr>
        <w:t>upload</w:t>
      </w:r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>
        <w:t xml:space="preserve">via l’administrateur dans la table </w:t>
      </w:r>
      <w:r w:rsidRPr="003E654D">
        <w:rPr>
          <w:rStyle w:val="AppTableCar"/>
          <w:rFonts w:eastAsiaTheme="minorHAnsi"/>
        </w:rPr>
        <w:t>IO_UPLOAD</w:t>
      </w:r>
      <w:r w:rsidRPr="00400071">
        <w:t xml:space="preserve"> 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7F357E" w:rsidRPr="003E654D" w:rsidRDefault="007F357E" w:rsidP="003E654D">
      <w:r w:rsidRPr="003E654D">
        <w:br w:type="page"/>
      </w:r>
    </w:p>
    <w:p w:rsidR="001D7F68" w:rsidRDefault="007F357E" w:rsidP="007F357E">
      <w:pPr>
        <w:pStyle w:val="Titre1"/>
      </w:pPr>
      <w:bookmarkStart w:id="32" w:name="_Toc348617876"/>
      <w:r>
        <w:lastRenderedPageBreak/>
        <w:t>Dépannage</w:t>
      </w:r>
      <w:bookmarkEnd w:id="32"/>
    </w:p>
    <w:p w:rsidR="007F357E" w:rsidRDefault="007F357E" w:rsidP="007F357E">
      <w:pPr>
        <w:pStyle w:val="Titre2"/>
      </w:pPr>
      <w:bookmarkStart w:id="33" w:name="_Toc348617877"/>
      <w:r>
        <w:t>Problème de connexion au server SMTP</w:t>
      </w:r>
      <w:bookmarkEnd w:id="33"/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 xml:space="preserve">ox (BBox, NeufBox,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00C" w:rsidRDefault="0011300C" w:rsidP="0067543A">
      <w:pPr>
        <w:spacing w:after="0" w:line="240" w:lineRule="auto"/>
      </w:pPr>
      <w:r>
        <w:separator/>
      </w:r>
    </w:p>
  </w:endnote>
  <w:endnote w:type="continuationSeparator" w:id="0">
    <w:p w:rsidR="0011300C" w:rsidRDefault="0011300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3E654D">
      <w:rPr>
        <w:noProof/>
      </w:rPr>
      <w:t>08/04/2013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00C" w:rsidRDefault="0011300C" w:rsidP="0067543A">
      <w:pPr>
        <w:spacing w:after="0" w:line="240" w:lineRule="auto"/>
      </w:pPr>
      <w:r>
        <w:separator/>
      </w:r>
    </w:p>
  </w:footnote>
  <w:footnote w:type="continuationSeparator" w:id="0">
    <w:p w:rsidR="0011300C" w:rsidRDefault="0011300C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0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2"/>
  </w:num>
  <w:num w:numId="4">
    <w:abstractNumId w:val="20"/>
  </w:num>
  <w:num w:numId="5">
    <w:abstractNumId w:val="24"/>
  </w:num>
  <w:num w:numId="6">
    <w:abstractNumId w:val="25"/>
  </w:num>
  <w:num w:numId="7">
    <w:abstractNumId w:val="8"/>
  </w:num>
  <w:num w:numId="8">
    <w:abstractNumId w:val="9"/>
  </w:num>
  <w:num w:numId="9">
    <w:abstractNumId w:val="18"/>
  </w:num>
  <w:num w:numId="10">
    <w:abstractNumId w:val="27"/>
  </w:num>
  <w:num w:numId="11">
    <w:abstractNumId w:val="6"/>
  </w:num>
  <w:num w:numId="12">
    <w:abstractNumId w:val="23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1"/>
  </w:num>
  <w:num w:numId="19">
    <w:abstractNumId w:val="13"/>
  </w:num>
  <w:num w:numId="20">
    <w:abstractNumId w:val="10"/>
  </w:num>
  <w:num w:numId="21">
    <w:abstractNumId w:val="26"/>
  </w:num>
  <w:num w:numId="22">
    <w:abstractNumId w:val="16"/>
  </w:num>
  <w:num w:numId="23">
    <w:abstractNumId w:val="22"/>
  </w:num>
  <w:num w:numId="24">
    <w:abstractNumId w:val="31"/>
  </w:num>
  <w:num w:numId="25">
    <w:abstractNumId w:val="5"/>
  </w:num>
  <w:num w:numId="26">
    <w:abstractNumId w:val="30"/>
  </w:num>
  <w:num w:numId="27">
    <w:abstractNumId w:val="2"/>
  </w:num>
  <w:num w:numId="28">
    <w:abstractNumId w:val="15"/>
  </w:num>
  <w:num w:numId="29">
    <w:abstractNumId w:val="28"/>
  </w:num>
  <w:num w:numId="30">
    <w:abstractNumId w:val="21"/>
  </w:num>
  <w:num w:numId="31">
    <w:abstractNumId w:val="17"/>
  </w:num>
  <w:num w:numId="32">
    <w:abstractNumId w:val="29"/>
  </w:num>
  <w:num w:numId="3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0F70DF"/>
    <w:rsid w:val="00106654"/>
    <w:rsid w:val="0010740E"/>
    <w:rsid w:val="0011300C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48B4"/>
    <w:rsid w:val="004152AC"/>
    <w:rsid w:val="00427676"/>
    <w:rsid w:val="004334B1"/>
    <w:rsid w:val="00434EA3"/>
    <w:rsid w:val="0044258B"/>
    <w:rsid w:val="0044662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7612"/>
    <w:rsid w:val="00B506C3"/>
    <w:rsid w:val="00B5124D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7BFAD-25B0-4809-B224-21149094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15</Pages>
  <Words>1807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412</cp:revision>
  <dcterms:created xsi:type="dcterms:W3CDTF">2012-11-27T06:23:00Z</dcterms:created>
  <dcterms:modified xsi:type="dcterms:W3CDTF">2013-04-08T13:41:00Z</dcterms:modified>
</cp:coreProperties>
</file>