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C0C7E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FC0C7E">
            <w:rPr>
              <w:noProof/>
            </w:rPr>
            <w:pict>
              <v:group id="_x0000_s1053" style="position:absolute;margin-left:6254.9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FC0C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6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>Débute l’</w:t>
      </w:r>
      <w:proofErr w:type="spellStart"/>
      <w:r>
        <w:t>upload</w:t>
      </w:r>
      <w:proofErr w:type="spellEnd"/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begin_upload</w:t>
      </w:r>
      <w:proofErr w:type="spellEnd"/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file_size</w:t>
      </w:r>
      <w:proofErr w:type="spellEnd"/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filename</w:t>
      </w:r>
      <w:proofErr w:type="spellEnd"/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content_type</w:t>
      </w:r>
      <w:proofErr w:type="spellEnd"/>
      <w:r>
        <w:rPr>
          <w:rStyle w:val="Rfrenceintense"/>
        </w:rPr>
        <w:tab/>
      </w:r>
      <w:r>
        <w:t>Type MIME</w:t>
      </w:r>
    </w:p>
    <w:p w:rsidR="002C64A2" w:rsidRPr="00FC0C7E" w:rsidRDefault="002C64A2" w:rsidP="00FC0C7E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mode</w:t>
      </w:r>
      <w:r>
        <w:rPr>
          <w:rStyle w:val="Rfrenceintense"/>
        </w:rPr>
        <w:tab/>
      </w:r>
      <w:proofErr w:type="spellStart"/>
      <w:r w:rsidRPr="002C64A2">
        <w:t>Optionel</w:t>
      </w:r>
      <w:proofErr w:type="spellEnd"/>
      <w:r w:rsidRPr="002C64A2">
        <w:t>,</w:t>
      </w:r>
      <w:r>
        <w:rPr>
          <w:rStyle w:val="Rfrenceintense"/>
        </w:rPr>
        <w:t xml:space="preserve"> </w:t>
      </w:r>
      <w:r w:rsidRPr="002C64A2">
        <w:t>Type d’</w:t>
      </w:r>
      <w:proofErr w:type="spellStart"/>
      <w:r w:rsidRPr="002C64A2">
        <w:t>upload</w:t>
      </w:r>
      <w:proofErr w:type="spellEnd"/>
      <w:r>
        <w:t>. Si </w:t>
      </w:r>
      <w:r w:rsidRPr="002C64A2">
        <w:rPr>
          <w:rStyle w:val="CodeCar"/>
        </w:rPr>
        <w:t>file</w:t>
      </w:r>
      <w:r>
        <w:t xml:space="preserve"> est spécifié, le fichier sera écrit sur le disque du serveur en même temps qu’en base de données.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io_upload_id</w:t>
      </w:r>
      <w:proofErr w:type="spellEnd"/>
      <w:r w:rsidRPr="00FC0C7E">
        <w:rPr>
          <w:rStyle w:val="Rfrenceintense"/>
        </w:rPr>
        <w:tab/>
      </w:r>
      <w:r w:rsidRPr="00FC0C7E">
        <w:t>Identifiant de l’</w:t>
      </w:r>
      <w:proofErr w:type="spellStart"/>
      <w:r w:rsidRPr="00FC0C7E">
        <w:t>upload</w:t>
      </w:r>
      <w:proofErr w:type="spellEnd"/>
      <w:r w:rsidRPr="00FC0C7E">
        <w:t xml:space="preserve">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packet_count</w:t>
      </w:r>
      <w:proofErr w:type="spellEnd"/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 xml:space="preserve">Taille de chaque </w:t>
      </w:r>
      <w:proofErr w:type="spellStart"/>
      <w:r>
        <w:t>packet</w:t>
      </w:r>
      <w:proofErr w:type="spellEnd"/>
      <w:r>
        <w:t xml:space="preserve">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FC0C7E" w:rsidRDefault="00FC0C7E" w:rsidP="002C64A2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</w:t>
      </w:r>
      <w:proofErr w:type="spellStart"/>
      <w:r w:rsidRPr="00FC0C7E">
        <w:t>upload</w:t>
      </w:r>
      <w:proofErr w:type="spellEnd"/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proofErr w:type="spellStart"/>
      <w:r w:rsidR="002C64A2" w:rsidRPr="002C64A2">
        <w:rPr>
          <w:rStyle w:val="Rfrenceintense"/>
        </w:rPr>
        <w:t>io_module</w:t>
      </w:r>
      <w:proofErr w:type="spellEnd"/>
      <w:proofErr w:type="gramStart"/>
      <w:r w:rsidR="002C64A2">
        <w:t>::</w:t>
      </w:r>
      <w:proofErr w:type="spellStart"/>
      <w:r w:rsidR="002C64A2" w:rsidRPr="002C64A2">
        <w:rPr>
          <w:rStyle w:val="Rfrenceintense"/>
        </w:rPr>
        <w:t>max</w:t>
      </w:r>
      <w:proofErr w:type="gramEnd"/>
      <w:r w:rsidR="002C64A2" w:rsidRPr="002C64A2">
        <w:rPr>
          <w:rStyle w:val="Rfrenceintense"/>
        </w:rPr>
        <w:t>_upload_size</w:t>
      </w:r>
      <w:proofErr w:type="spellEnd"/>
      <w:r w:rsidR="002C64A2"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</w:pPr>
      <w:r>
        <w:t>Si mode == file</w:t>
      </w:r>
    </w:p>
    <w:p w:rsidR="002C64A2" w:rsidRPr="000548BB" w:rsidRDefault="002C64A2" w:rsidP="002C64A2">
      <w:pPr>
        <w:pStyle w:val="Paragraphedeliste"/>
        <w:numPr>
          <w:ilvl w:val="1"/>
          <w:numId w:val="36"/>
        </w:numPr>
      </w:pPr>
      <w:r>
        <w:t>Vérifie que le répertoire d’</w:t>
      </w:r>
      <w:proofErr w:type="spellStart"/>
      <w:r>
        <w:t>upload</w:t>
      </w:r>
      <w:proofErr w:type="spellEnd"/>
      <w:r>
        <w:t xml:space="preserve"> existe </w:t>
      </w:r>
      <w:r>
        <w:t>(</w:t>
      </w:r>
      <w:proofErr w:type="spellStart"/>
      <w:r w:rsidRPr="002C64A2">
        <w:rPr>
          <w:rStyle w:val="Rfrenceintense"/>
        </w:rPr>
        <w:t>io_module</w:t>
      </w:r>
      <w:proofErr w:type="spellEnd"/>
      <w:proofErr w:type="gramStart"/>
      <w:r>
        <w:t>::</w:t>
      </w:r>
      <w:proofErr w:type="spellStart"/>
      <w:r w:rsidRPr="002C64A2">
        <w:rPr>
          <w:rStyle w:val="Rfrenceintense"/>
        </w:rPr>
        <w:t>upload</w:t>
      </w:r>
      <w:proofErr w:type="gramEnd"/>
      <w:r w:rsidRPr="002C64A2">
        <w:rPr>
          <w:rStyle w:val="Rfrenceintense"/>
        </w:rPr>
        <w:t>_</w:t>
      </w:r>
      <w:r>
        <w:rPr>
          <w:rStyle w:val="Rfrenceintense"/>
        </w:rPr>
        <w:t>dir</w:t>
      </w:r>
      <w:proofErr w:type="spellEnd"/>
      <w:r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2C64A2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>
        <w:t>Si mode == file</w:t>
      </w:r>
      <w:r w:rsidRPr="002C64A2">
        <w:rPr>
          <w:rStyle w:val="Accentuation"/>
          <w:b w:val="0"/>
          <w:i w:val="0"/>
          <w:iCs w:val="0"/>
          <w:sz w:val="22"/>
        </w:rPr>
        <w:t xml:space="preserve"> </w:t>
      </w:r>
    </w:p>
    <w:p w:rsidR="00FC0C7E" w:rsidRDefault="002C64A2" w:rsidP="002C64A2">
      <w:pPr>
        <w:pStyle w:val="Paragraphedeliste"/>
        <w:numPr>
          <w:ilvl w:val="1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 xml:space="preserve">Prépare </w:t>
      </w:r>
      <w:r>
        <w:rPr>
          <w:rStyle w:val="Accentuation"/>
          <w:b w:val="0"/>
          <w:i w:val="0"/>
          <w:iCs w:val="0"/>
          <w:sz w:val="22"/>
        </w:rPr>
        <w:t>le fichier</w:t>
      </w:r>
      <w:r w:rsidRPr="002C64A2">
        <w:rPr>
          <w:rStyle w:val="Accentuation"/>
          <w:b w:val="0"/>
          <w:i w:val="0"/>
          <w:iCs w:val="0"/>
          <w:sz w:val="22"/>
        </w:rPr>
        <w:t xml:space="preserve"> de stockage</w:t>
      </w:r>
      <w:r w:rsidR="00FC0C7E">
        <w:rPr>
          <w:rStyle w:val="Accentuation"/>
          <w:b w:val="0"/>
          <w:i w:val="0"/>
          <w:iCs w:val="0"/>
          <w:sz w:val="22"/>
        </w:rPr>
        <w:t xml:space="preserve"> 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>Pour procéder à l’</w:t>
      </w:r>
      <w:proofErr w:type="spellStart"/>
      <w:r>
        <w:t>upload</w:t>
      </w:r>
      <w:proofErr w:type="spellEnd"/>
      <w:r>
        <w:t xml:space="preserve"> des données. Le programme doit exécuter le contrôleur </w:t>
      </w:r>
      <w:proofErr w:type="spellStart"/>
      <w:r w:rsidRPr="00412C39">
        <w:rPr>
          <w:rStyle w:val="Rfrenceintense"/>
        </w:rPr>
        <w:t>check_upload</w:t>
      </w:r>
      <w:proofErr w:type="spellEnd"/>
      <w:r>
        <w:t>.</w:t>
      </w:r>
    </w:p>
    <w:p w:rsidR="00FC0C7E" w:rsidRDefault="00FC0C7E" w:rsidP="00FC0C7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GoBack"/>
      <w:bookmarkEnd w:id="22"/>
      <w:r>
        <w:br w:type="page"/>
      </w:r>
    </w:p>
    <w:p w:rsidR="00AB65C1" w:rsidRDefault="00F849B5" w:rsidP="00AB65C1">
      <w:pPr>
        <w:pStyle w:val="Titre3"/>
      </w:pPr>
      <w:r>
        <w:lastRenderedPageBreak/>
        <w:t>Initier</w:t>
      </w:r>
      <w:r w:rsidR="00AB65C1">
        <w:t xml:space="preserve"> un </w:t>
      </w:r>
      <w:r w:rsidR="00FC0C7E">
        <w:t>envoi</w:t>
      </w:r>
      <w:r w:rsidR="00B43221">
        <w:t xml:space="preserve"> de données</w:t>
      </w:r>
    </w:p>
    <w:p w:rsidR="00AB65C1" w:rsidRPr="00CC42E0" w:rsidRDefault="00FC0C7E" w:rsidP="00AB65C1">
      <w:r>
        <w:t>Initialise un envoi</w:t>
      </w:r>
      <w:r w:rsidR="00857653">
        <w:t xml:space="preserve">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12497A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="00AB65C1" w:rsidRPr="00CC42E0">
        <w:tab/>
      </w:r>
      <w:r w:rsidR="00AB65C1" w:rsidRPr="00CC42E0">
        <w:rPr>
          <w:u w:val="single"/>
        </w:rPr>
        <w:t>Description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Mail</w:t>
      </w:r>
      <w:r>
        <w:tab/>
        <w:t>Adresse du nouvel 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Identifier</w:t>
      </w:r>
      <w:r>
        <w:tab/>
        <w:t>Nom d’utilisateur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Name</w:t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 w:rsidR="0012497A"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012293" w:rsidRDefault="00012293">
      <w:bookmarkStart w:id="23" w:name="_Toc334797631"/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>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r w:rsidRPr="00012293">
        <w:t>repository_id</w:t>
      </w:r>
      <w:proofErr w:type="spellEnd"/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849B5" w:rsidRDefault="00F849B5" w:rsidP="00F849B5">
      <w:pPr>
        <w:pStyle w:val="Titre3"/>
      </w:pPr>
      <w:r>
        <w:lastRenderedPageBreak/>
        <w:t>Supprimer une autorisation d’envoie</w:t>
      </w:r>
    </w:p>
    <w:p w:rsidR="00F849B5" w:rsidRPr="00CC42E0" w:rsidRDefault="00994897" w:rsidP="00F849B5">
      <w:r>
        <w:t>Initialise un envoi</w:t>
      </w:r>
      <w:r w:rsidR="00F849B5">
        <w:t xml:space="preserve"> de données.</w:t>
      </w:r>
    </w:p>
    <w:p w:rsidR="00F849B5" w:rsidRDefault="00F849B5" w:rsidP="00F849B5">
      <w:pPr>
        <w:pStyle w:val="Sous-titre"/>
      </w:pPr>
      <w:r>
        <w:t>Informations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4897">
        <w:t>delete</w:t>
      </w:r>
      <w:r>
        <w:t>_upload</w:t>
      </w:r>
      <w:proofErr w:type="spellEnd"/>
    </w:p>
    <w:p w:rsidR="00F849B5" w:rsidRDefault="00F849B5" w:rsidP="00F849B5">
      <w:pPr>
        <w:pStyle w:val="Sansinterligne"/>
        <w:tabs>
          <w:tab w:val="left" w:pos="2268"/>
        </w:tabs>
      </w:pPr>
      <w:r>
        <w:t>Acteur :</w:t>
      </w:r>
      <w:r>
        <w:tab/>
      </w:r>
      <w:r w:rsidR="00994897">
        <w:t>Administrateur</w:t>
      </w:r>
    </w:p>
    <w:p w:rsidR="00F849B5" w:rsidRDefault="00F849B5" w:rsidP="00F849B5">
      <w:pPr>
        <w:pStyle w:val="Sous-titre"/>
      </w:pPr>
      <w:r>
        <w:t>Entrée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F849B5" w:rsidRDefault="00F849B5" w:rsidP="00F849B5">
      <w:pPr>
        <w:pStyle w:val="Sous-titre"/>
      </w:pPr>
      <w:r>
        <w:t>Sortie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Sous-titre"/>
      </w:pPr>
      <w:r>
        <w:t>Procédure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l’utilisateur est connecté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F849B5" w:rsidRPr="00396139" w:rsidRDefault="00F849B5" w:rsidP="00012293">
      <w:pPr>
        <w:pStyle w:val="Paragraphedeliste"/>
        <w:numPr>
          <w:ilvl w:val="0"/>
          <w:numId w:val="35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>
        <w:rPr>
          <w:rStyle w:val="AppTableCar"/>
          <w:rFonts w:eastAsiaTheme="minorHAnsi"/>
        </w:rPr>
        <w:t>IO_UPLOAD_PROCESS</w:t>
      </w:r>
    </w:p>
    <w:p w:rsidR="00F849B5" w:rsidRDefault="00F849B5" w:rsidP="00F849B5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  <w:bookmarkEnd w:id="23"/>
    </w:p>
    <w:p w:rsidR="00626E1F" w:rsidRDefault="00626E1F" w:rsidP="00626E1F">
      <w:pPr>
        <w:pStyle w:val="Titre1"/>
      </w:pPr>
      <w:bookmarkStart w:id="24" w:name="_Toc348617869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FC0C7E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27" w:rsidRDefault="009C0F27" w:rsidP="0067543A">
      <w:pPr>
        <w:spacing w:after="0" w:line="240" w:lineRule="auto"/>
      </w:pPr>
      <w:r>
        <w:separator/>
      </w:r>
    </w:p>
  </w:endnote>
  <w:endnote w:type="continuationSeparator" w:id="0">
    <w:p w:rsidR="009C0F27" w:rsidRDefault="009C0F27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7E" w:rsidRDefault="00FC0C7E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29/01/2014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27" w:rsidRDefault="009C0F27" w:rsidP="0067543A">
      <w:pPr>
        <w:spacing w:after="0" w:line="240" w:lineRule="auto"/>
      </w:pPr>
      <w:r>
        <w:separator/>
      </w:r>
    </w:p>
  </w:footnote>
  <w:footnote w:type="continuationSeparator" w:id="0">
    <w:p w:rsidR="009C0F27" w:rsidRDefault="009C0F27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1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5"/>
  </w:num>
  <w:num w:numId="4">
    <w:abstractNumId w:val="22"/>
  </w:num>
  <w:num w:numId="5">
    <w:abstractNumId w:val="27"/>
  </w:num>
  <w:num w:numId="6">
    <w:abstractNumId w:val="28"/>
  </w:num>
  <w:num w:numId="7">
    <w:abstractNumId w:val="10"/>
  </w:num>
  <w:num w:numId="8">
    <w:abstractNumId w:val="11"/>
  </w:num>
  <w:num w:numId="9">
    <w:abstractNumId w:val="20"/>
  </w:num>
  <w:num w:numId="10">
    <w:abstractNumId w:val="30"/>
  </w:num>
  <w:num w:numId="11">
    <w:abstractNumId w:val="8"/>
  </w:num>
  <w:num w:numId="12">
    <w:abstractNumId w:val="26"/>
  </w:num>
  <w:num w:numId="13">
    <w:abstractNumId w:val="9"/>
  </w:num>
  <w:num w:numId="14">
    <w:abstractNumId w:val="13"/>
  </w:num>
  <w:num w:numId="15">
    <w:abstractNumId w:val="14"/>
  </w:num>
  <w:num w:numId="16">
    <w:abstractNumId w:val="21"/>
  </w:num>
  <w:num w:numId="17">
    <w:abstractNumId w:val="16"/>
  </w:num>
  <w:num w:numId="18">
    <w:abstractNumId w:val="1"/>
  </w:num>
  <w:num w:numId="19">
    <w:abstractNumId w:val="15"/>
  </w:num>
  <w:num w:numId="20">
    <w:abstractNumId w:val="12"/>
  </w:num>
  <w:num w:numId="21">
    <w:abstractNumId w:val="29"/>
  </w:num>
  <w:num w:numId="22">
    <w:abstractNumId w:val="18"/>
  </w:num>
  <w:num w:numId="23">
    <w:abstractNumId w:val="24"/>
  </w:num>
  <w:num w:numId="24">
    <w:abstractNumId w:val="34"/>
  </w:num>
  <w:num w:numId="25">
    <w:abstractNumId w:val="6"/>
  </w:num>
  <w:num w:numId="26">
    <w:abstractNumId w:val="33"/>
  </w:num>
  <w:num w:numId="27">
    <w:abstractNumId w:val="2"/>
  </w:num>
  <w:num w:numId="28">
    <w:abstractNumId w:val="17"/>
  </w:num>
  <w:num w:numId="29">
    <w:abstractNumId w:val="31"/>
  </w:num>
  <w:num w:numId="30">
    <w:abstractNumId w:val="23"/>
  </w:num>
  <w:num w:numId="31">
    <w:abstractNumId w:val="19"/>
  </w:num>
  <w:num w:numId="32">
    <w:abstractNumId w:val="32"/>
  </w:num>
  <w:num w:numId="33">
    <w:abstractNumId w:val="4"/>
  </w:num>
  <w:num w:numId="34">
    <w:abstractNumId w:val="25"/>
  </w:num>
  <w:num w:numId="35">
    <w:abstractNumId w:val="7"/>
  </w:num>
  <w:num w:numId="3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334B1"/>
    <w:rsid w:val="00434EA3"/>
    <w:rsid w:val="0044258B"/>
    <w:rsid w:val="0044662A"/>
    <w:rsid w:val="0045414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7F72A4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0C7E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1BE25-8EE7-4AF0-A9C5-554BA652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17</Pages>
  <Words>2171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438</cp:revision>
  <dcterms:created xsi:type="dcterms:W3CDTF">2012-11-27T06:23:00Z</dcterms:created>
  <dcterms:modified xsi:type="dcterms:W3CDTF">2014-01-29T17:58:00Z</dcterms:modified>
</cp:coreProperties>
</file>