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C64E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2C64E2">
            <w:rPr>
              <w:noProof/>
            </w:rPr>
            <w:pict>
              <v:group id="_x0000_s1053" style="position:absolute;margin-left:5401.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2C64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</w:t>
            </w:r>
            <w:bookmarkStart w:id="6" w:name="_GoBack"/>
            <w:bookmarkEnd w:id="6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7" w:name="7"/>
      <w:r>
        <w:t>L</w:t>
      </w:r>
      <w:r>
        <w:t>iens d'association</w:t>
      </w:r>
      <w:bookmarkEnd w:id="7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8" w:name="_Toc348617859"/>
      <w:r>
        <w:t>Formats</w:t>
      </w:r>
      <w:bookmarkEnd w:id="8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9" w:name="_Toc348617860"/>
      <w:bookmarkStart w:id="10" w:name="_Toc334797623"/>
      <w:r>
        <w:lastRenderedPageBreak/>
        <w:t>Operations système</w:t>
      </w:r>
      <w:bookmarkEnd w:id="9"/>
    </w:p>
    <w:p w:rsidR="00D20A87" w:rsidRDefault="00D20A87" w:rsidP="00D20A87">
      <w:bookmarkStart w:id="11" w:name="_Toc334797624"/>
      <w:bookmarkEnd w:id="10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2" w:name="_Toc348617861"/>
      <w:r>
        <w:t>Acteurs</w:t>
      </w:r>
      <w:bookmarkEnd w:id="11"/>
      <w:bookmarkEnd w:id="12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3" w:name="_Toc334797627"/>
      <w:bookmarkStart w:id="14" w:name="_Toc348617862"/>
      <w:r>
        <w:rPr>
          <w:rFonts w:eastAsia="Times New Roman"/>
        </w:rPr>
        <w:t>Administrateur</w:t>
      </w:r>
      <w:bookmarkEnd w:id="13"/>
      <w:bookmarkEnd w:id="14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5" w:name="_Toc334797628"/>
    </w:p>
    <w:p w:rsidR="00D20A87" w:rsidRDefault="00D20A87" w:rsidP="006A51F7">
      <w:pPr>
        <w:pStyle w:val="Titre2"/>
      </w:pPr>
      <w:bookmarkStart w:id="16" w:name="_Toc348617863"/>
      <w:r>
        <w:t>Système</w:t>
      </w:r>
      <w:bookmarkEnd w:id="15"/>
      <w:bookmarkEnd w:id="16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7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8" w:name="_Toc348617864"/>
      <w:r>
        <w:lastRenderedPageBreak/>
        <w:t>Résultats d’opération</w:t>
      </w:r>
      <w:bookmarkEnd w:id="18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9" w:name="_Toc348617865"/>
      <w:r w:rsidRPr="00511C39">
        <w:t xml:space="preserve">Détail </w:t>
      </w:r>
      <w:r>
        <w:t>des codes</w:t>
      </w:r>
      <w:bookmarkEnd w:id="19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P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122BB9" w:rsidRDefault="00122BB9" w:rsidP="00122BB9">
      <w:pPr>
        <w:pStyle w:val="Titre3"/>
      </w:pPr>
      <w:bookmarkStart w:id="20" w:name="_Toc348617866"/>
      <w:r w:rsidRPr="00511C39">
        <w:t xml:space="preserve">Détail </w:t>
      </w:r>
      <w:r>
        <w:t xml:space="preserve">des </w:t>
      </w:r>
      <w:bookmarkEnd w:id="20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1" w:name="_Toc348617867"/>
      <w:r>
        <w:lastRenderedPageBreak/>
        <w:t>Cas d’utilisation</w:t>
      </w:r>
      <w:bookmarkStart w:id="22" w:name="_Toc334797630"/>
      <w:bookmarkEnd w:id="17"/>
      <w:bookmarkEnd w:id="21"/>
    </w:p>
    <w:bookmarkEnd w:id="22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B43221" w:rsidP="00AB65C1">
      <w:pPr>
        <w:pStyle w:val="Titre3"/>
      </w:pPr>
      <w:r>
        <w:lastRenderedPageBreak/>
        <w:t>Débuter</w:t>
      </w:r>
      <w:r w:rsidR="00AB65C1">
        <w:t xml:space="preserve"> un </w:t>
      </w:r>
      <w:r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3" w:name="_Toc334797631"/>
      <w:r>
        <w:br w:type="page"/>
      </w:r>
      <w:bookmarkEnd w:id="23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A4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5C6A3E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r>
              <w:rPr>
                <w:rFonts w:asciiTheme="minorHAnsi" w:hAnsiTheme="minorHAnsi"/>
                <w:szCs w:val="20"/>
              </w:rPr>
              <w:t>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Taille </w:t>
            </w:r>
            <w:r>
              <w:t>des paquets</w:t>
            </w:r>
            <w:r>
              <w:t xml:space="preserve"> accepté pour les </w:t>
            </w:r>
            <w:r>
              <w:t>envois</w:t>
            </w:r>
            <w:r>
              <w:t xml:space="preserve">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 par </w:t>
      </w:r>
      <w:proofErr w:type="spellStart"/>
      <w:r w:rsidR="003E654D">
        <w:t>la</w:t>
      </w:r>
      <w:proofErr w:type="spellEnd"/>
      <w:r w:rsidR="003E654D">
        <w:t xml:space="preserve"> </w:t>
      </w:r>
      <w:r w:rsidR="003E654D">
        <w:t xml:space="preserve">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</w:t>
      </w:r>
      <w:r w:rsidR="003E654D" w:rsidRPr="003E654D">
        <w:rPr>
          <w:rStyle w:val="Accentuation"/>
        </w:rPr>
        <w:t>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paquets est définit</w:t>
      </w:r>
      <w:r>
        <w:t xml:space="preserve">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</w:t>
      </w:r>
      <w:r w:rsidRPr="00400071">
        <w:rPr>
          <w:rStyle w:val="Accentuation"/>
        </w:rPr>
        <w:t>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E2" w:rsidRDefault="002C64E2" w:rsidP="0067543A">
      <w:pPr>
        <w:spacing w:after="0" w:line="240" w:lineRule="auto"/>
      </w:pPr>
      <w:r>
        <w:separator/>
      </w:r>
    </w:p>
  </w:endnote>
  <w:endnote w:type="continuationSeparator" w:id="0">
    <w:p w:rsidR="002C64E2" w:rsidRDefault="002C64E2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3E654D">
      <w:rPr>
        <w:noProof/>
      </w:rPr>
      <w:t>08/04/2013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E2" w:rsidRDefault="002C64E2" w:rsidP="0067543A">
      <w:pPr>
        <w:spacing w:after="0" w:line="240" w:lineRule="auto"/>
      </w:pPr>
      <w:r>
        <w:separator/>
      </w:r>
    </w:p>
  </w:footnote>
  <w:footnote w:type="continuationSeparator" w:id="0">
    <w:p w:rsidR="002C64E2" w:rsidRDefault="002C64E2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3"/>
  </w:num>
  <w:num w:numId="4">
    <w:abstractNumId w:val="20"/>
  </w:num>
  <w:num w:numId="5">
    <w:abstractNumId w:val="25"/>
  </w:num>
  <w:num w:numId="6">
    <w:abstractNumId w:val="26"/>
  </w:num>
  <w:num w:numId="7">
    <w:abstractNumId w:val="8"/>
  </w:num>
  <w:num w:numId="8">
    <w:abstractNumId w:val="9"/>
  </w:num>
  <w:num w:numId="9">
    <w:abstractNumId w:val="18"/>
  </w:num>
  <w:num w:numId="10">
    <w:abstractNumId w:val="28"/>
  </w:num>
  <w:num w:numId="11">
    <w:abstractNumId w:val="6"/>
  </w:num>
  <w:num w:numId="12">
    <w:abstractNumId w:val="24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1"/>
  </w:num>
  <w:num w:numId="19">
    <w:abstractNumId w:val="13"/>
  </w:num>
  <w:num w:numId="20">
    <w:abstractNumId w:val="10"/>
  </w:num>
  <w:num w:numId="21">
    <w:abstractNumId w:val="27"/>
  </w:num>
  <w:num w:numId="22">
    <w:abstractNumId w:val="16"/>
  </w:num>
  <w:num w:numId="23">
    <w:abstractNumId w:val="22"/>
  </w:num>
  <w:num w:numId="24">
    <w:abstractNumId w:val="32"/>
  </w:num>
  <w:num w:numId="25">
    <w:abstractNumId w:val="5"/>
  </w:num>
  <w:num w:numId="26">
    <w:abstractNumId w:val="31"/>
  </w:num>
  <w:num w:numId="27">
    <w:abstractNumId w:val="2"/>
  </w:num>
  <w:num w:numId="28">
    <w:abstractNumId w:val="15"/>
  </w:num>
  <w:num w:numId="29">
    <w:abstractNumId w:val="29"/>
  </w:num>
  <w:num w:numId="30">
    <w:abstractNumId w:val="21"/>
  </w:num>
  <w:num w:numId="31">
    <w:abstractNumId w:val="17"/>
  </w:num>
  <w:num w:numId="32">
    <w:abstractNumId w:val="30"/>
  </w:num>
  <w:num w:numId="33">
    <w:abstractNumId w:val="3"/>
  </w:num>
  <w:num w:numId="3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48B4"/>
    <w:rsid w:val="004152AC"/>
    <w:rsid w:val="00427676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7612"/>
    <w:rsid w:val="00B506C3"/>
    <w:rsid w:val="00B5124D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D60F3-BF14-4336-B330-202B0F18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13</Pages>
  <Words>1725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425</cp:revision>
  <dcterms:created xsi:type="dcterms:W3CDTF">2012-11-27T06:23:00Z</dcterms:created>
  <dcterms:modified xsi:type="dcterms:W3CDTF">2013-04-08T14:19:00Z</dcterms:modified>
</cp:coreProperties>
</file>