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rPr>
        <w:t>NEW CARD: [1101_access_control]</w:t>
      </w:r>
    </w:p>
    <w:p>
      <w:pPr>
        <w:pStyle w:val="Heading1"/>
      </w:pPr>
      <w:r>
        <w:t>Access Control &amp; Security</w:t>
      </w:r>
    </w:p>
    <w:p>
      <w:pPr>
        <w:pStyle w:val="Heading2"/>
      </w:pPr>
      <w:r>
        <w:t>Executive Summary</w:t>
      </w:r>
    </w:p>
    <w:p>
      <w:r>
        <w:t>The objective of the 'Access Control &amp; Security' asset is the establishment of a robust technical component within the enterprise-level engineering framework. This asset serves as a critical junction for system-wide modernisation and provides the necessary logic for long-term structural integrity. Technical definition pending.</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p>
      <w:r>
        <w:br w:type="page"/>
      </w:r>
    </w:p>
    <w:p>
      <w:r>
        <w:rPr>
          <w:b/>
          <w:color w:val="000000"/>
        </w:rPr>
        <w:t>NEW CARD: [1243_access_controls]</w:t>
      </w:r>
    </w:p>
    <w:p>
      <w:pPr>
        <w:pStyle w:val="Heading1"/>
      </w:pPr>
      <w:r>
        <w:t>Access controls</w:t>
      </w:r>
    </w:p>
    <w:p>
      <w:pPr>
        <w:pStyle w:val="Heading2"/>
      </w:pPr>
      <w:r>
        <w:t>Executive Summary</w:t>
      </w:r>
    </w:p>
    <w:p>
      <w:r>
        <w:t xml:space="preserve">The objective of the 'Access controls' asset is the establishment of a robust technical component within the enterprise-level engineering framework. This asset serves as a critical junction for system-wide modernisation and provides the necessary logic for long-term structural integrity. </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p>
      <w:r>
        <w:br w:type="page"/>
      </w:r>
    </w:p>
    <w:p>
      <w:r>
        <w:rPr>
          <w:b/>
          <w:color w:val="000000"/>
        </w:rPr>
        <w:t>NEW CARD: [1343_active_directory_basics]</w:t>
      </w:r>
    </w:p>
    <w:p>
      <w:pPr>
        <w:pStyle w:val="Heading1"/>
      </w:pPr>
      <w:r>
        <w:t>Active Directory Basics</w:t>
      </w:r>
    </w:p>
    <w:p>
      <w:pPr>
        <w:pStyle w:val="Heading2"/>
      </w:pPr>
      <w:r>
        <w:t>Executive Summary</w:t>
      </w:r>
    </w:p>
    <w:p>
      <w:r>
        <w:t>The objective of the 'Active Directory Basics' asset is the establishment of a robust technical component within the enterprise-level engineering framework. This asset serves as a critical junction for system-wide modernisation and provides the necessary logic for long-term structural integrity. Core understanding of Active Directory structure, domains, OUs, group policies, and directory services for identity management.</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p>
      <w:r>
        <w:br w:type="page"/>
      </w:r>
    </w:p>
    <w:p>
      <w:r>
        <w:rPr>
          <w:b/>
          <w:color w:val="000000"/>
        </w:rPr>
        <w:t>NEW CARD: [1290_ad_hoc_reports]</w:t>
      </w:r>
    </w:p>
    <w:p>
      <w:pPr>
        <w:pStyle w:val="Heading1"/>
      </w:pPr>
      <w:r>
        <w:t>Ad-Hoc Reports</w:t>
      </w:r>
    </w:p>
    <w:p>
      <w:pPr>
        <w:pStyle w:val="Heading2"/>
      </w:pPr>
      <w:r>
        <w:t>Executive Summary</w:t>
      </w:r>
    </w:p>
    <w:p>
      <w:r>
        <w:t>The objective of the 'Ad-Hoc Reports' asset is the establishment of a robust technical component within the enterprise-level engineering framework. This asset serves as a critical junction for system-wide modernisation and provides the necessary logic for long-term structural integrity. One-off reports created to answer specific business questions or investigate anomalies. Flexible, often created in response to emerging needs or management requests</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p>
      <w:r>
        <w:br w:type="page"/>
      </w:r>
    </w:p>
    <w:p>
      <w:r>
        <w:rPr>
          <w:b/>
          <w:color w:val="000000"/>
        </w:rPr>
        <w:t>NEW CARD: [1405_advanced_chemical_discovery]</w:t>
      </w:r>
    </w:p>
    <w:p>
      <w:pPr>
        <w:pStyle w:val="Heading1"/>
      </w:pPr>
      <w:r>
        <w:t>Advanced Chemical Discovery</w:t>
      </w:r>
    </w:p>
    <w:p>
      <w:pPr>
        <w:pStyle w:val="Heading2"/>
      </w:pPr>
      <w:r>
        <w:t>Executive Summary</w:t>
      </w:r>
    </w:p>
    <w:p>
      <w:r>
        <w:t>The objective of the 'Advanced Chemical Discovery' asset is the establishment of a robust technical component within the enterprise-level engineering framework. This asset serves as a critical junction for system-wide modernisation and provides the necessary logic for long-term structural integrity. Developed data-driven approaches to accelerate chemical discovery and experimentation.</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p>
      <w:r>
        <w:br w:type="page"/>
      </w:r>
    </w:p>
    <w:p>
      <w:r>
        <w:rPr>
          <w:b/>
          <w:color w:val="000000"/>
        </w:rPr>
        <w:t>NEW CARD: [10075_agentic_modernisation_the_innovation_hub]</w:t>
      </w:r>
    </w:p>
    <w:p>
      <w:pPr>
        <w:pStyle w:val="Heading1"/>
      </w:pPr>
      <w:r>
        <w:t>Agentic Modernisation: The Innovation Hub</w:t>
      </w:r>
    </w:p>
    <w:p>
      <w:pPr>
        <w:pStyle w:val="Heading2"/>
      </w:pPr>
      <w:r>
        <w:t>Executive Summary</w:t>
      </w:r>
    </w:p>
    <w:p>
      <w:r>
        <w:t>The objective of the 'Agentic Modernisation: The Innovation Hub' asset is the establishment of a robust technical component within the enterprise-level engineering framework. This asset serves as a critical junction for system-wide modernisation and provides the necessary logic for long-term structural integrity. Bridging the legacy gap with AI. Orchestrating agentic workflows, LLMs, and modern cloud architectures to transform static data into proactive business intelligence.</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p>
      <w:r>
        <w:br w:type="page"/>
      </w:r>
    </w:p>
    <w:p>
      <w:r>
        <w:rPr>
          <w:b/>
          <w:color w:val="000000"/>
        </w:rPr>
        <w:t>NEW CARD: [10082_agentic_orchestration_for_legacy]</w:t>
      </w:r>
    </w:p>
    <w:p>
      <w:pPr>
        <w:pStyle w:val="Heading1"/>
      </w:pPr>
      <w:r>
        <w:t>Agentic Orchestration for Legacy</w:t>
      </w:r>
    </w:p>
    <w:p>
      <w:pPr>
        <w:pStyle w:val="Heading2"/>
      </w:pPr>
      <w:r>
        <w:t>Executive Summary</w:t>
      </w:r>
    </w:p>
    <w:p>
      <w:r>
        <w:t>The objective of the 'Agentic Orchestration for Legacy' asset is the establishment of a robust technical component within the enterprise-level engineering framework. This asset serves as a critical junction for system-wide modernisation and provides the necessary logic for long-term structural integrity. The Bridge: Using AI Agents as "Cognitive Middleware" to perform complex, multi-step tasks across legacy SQL, Oracle, and Mainframe systems.</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p>
      <w:r>
        <w:br w:type="page"/>
      </w:r>
    </w:p>
    <w:p>
      <w:r>
        <w:rPr>
          <w:b/>
          <w:color w:val="000000"/>
        </w:rPr>
        <w:t>NEW CARD: [10038_ai_machine_learning_the_intelligence]</w:t>
      </w:r>
    </w:p>
    <w:p>
      <w:pPr>
        <w:pStyle w:val="Heading1"/>
      </w:pPr>
      <w:r>
        <w:t>AI &amp; Machine Learning (The Intelligence)</w:t>
      </w:r>
    </w:p>
    <w:p>
      <w:pPr>
        <w:pStyle w:val="Heading2"/>
      </w:pPr>
      <w:r>
        <w:t>Executive Summary</w:t>
      </w:r>
    </w:p>
    <w:p>
      <w:r>
        <w:t>The objective of the 'AI &amp; Machine Learning (The Intelligence)' asset is the establishment of a robust technical component within the enterprise-level engineering framework. This asset serves as a critical junction for system-wide modernisation and provides the necessary logic for long-term structural integrity. Definition: Tools to build, train, and deploy AI models and agents.Key Services: Azure OpenAI Service, Azure AI Foundry (Model Catalog), Azure AI Search. Transition from "Cognitive Services" to Unified AI Foundry for agentic AI development.</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p>
      <w:r>
        <w:br w:type="page"/>
      </w:r>
    </w:p>
    <w:p>
      <w:r>
        <w:rPr>
          <w:b/>
          <w:color w:val="000000"/>
        </w:rPr>
        <w:t>NEW CARD: [802_ai_doc_systems]</w:t>
      </w:r>
    </w:p>
    <w:p>
      <w:pPr>
        <w:pStyle w:val="Heading1"/>
      </w:pPr>
      <w:r>
        <w:t>AI Document Interrogation Systems</w:t>
      </w:r>
    </w:p>
    <w:p>
      <w:pPr>
        <w:pStyle w:val="Heading2"/>
      </w:pPr>
      <w:r>
        <w:t>Executive Summary</w:t>
      </w:r>
    </w:p>
    <w:p>
      <w:r>
        <w:t>The objective of the 'AI Document Interrogation Systems' asset is the establishment of a robust technical component within the enterprise-level engineering framework. This asset serves as a critical junction for system-wide modernisation and provides the necessary logic for long-term structural integrity. Technical definition pending.</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p>
      <w:r>
        <w:br w:type="page"/>
      </w:r>
    </w:p>
    <w:p>
      <w:r>
        <w:rPr>
          <w:b/>
          <w:color w:val="000000"/>
        </w:rPr>
        <w:t>NEW CARD: [10079_ai_evaluation_red_teaming]</w:t>
      </w:r>
    </w:p>
    <w:p>
      <w:pPr>
        <w:pStyle w:val="Heading1"/>
      </w:pPr>
      <w:r>
        <w:t>AI Evaluation &amp; Red-Teaming</w:t>
      </w:r>
    </w:p>
    <w:p>
      <w:pPr>
        <w:pStyle w:val="Heading2"/>
      </w:pPr>
      <w:r>
        <w:t>Executive Summary</w:t>
      </w:r>
    </w:p>
    <w:p>
      <w:r>
        <w:t>The objective of the 'AI Evaluation &amp; Red-Teaming' asset is the establishment of a robust technical component within the enterprise-level engineering framework. This asset serves as a critical junction for system-wide modernisation and provides the necessary logic for long-term structural integrity. Verification: Proactive adversarial testing. Identifying failure modes in LLMs (prompt injection, data leakage) before they reach production.</w:t>
      </w:r>
    </w:p>
    <w:p>
      <w:r>
        <w:t>Success in this domain requires strict adherence to architectural standards and the alignment of technical deliverables with the 30-year engineering lifecycle. Implementation focus remains on the elimination of technical debt and the initialisation of high-availability services that support the wider infrastructure programme.</w:t>
      </w:r>
    </w:p>
    <w:p>
      <w:r>
        <w:t>Technical evaluation highlights the strategic importance of this asset for maintaining parity between legacy deterministic systems and modern probabilistic workflows. Centralisation of these capabilities ensures a unified command structure and reduces the risk of architectural divergence during complex modernisation phases.</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Technical Strategy &amp; System Impact</w:t>
      </w:r>
    </w:p>
    <w:p>
      <w:r>
        <w:t>Implementation logic is centred on the separation of concerns and the optimisation of data flow across the distributed n-tier architecture. The '{title}' asset interfaces directly with core SQL repositories and secondary cloud-native registries, ensuring consistent state synchronisation without introducing excessive latency.</w:t>
      </w:r>
    </w:p>
    <w:p>
      <w:r>
        <w:t>System impact analysis indicates a measurable improvement in operational efficiency. By leveraging modular design patterns, the asset allows for independent scaling of specific functional blocks, thereby reducing the computational overhead of the global production environment. Data integrity is maintained via strict schema enforcement and transactional atomicity.</w:t>
      </w:r>
    </w:p>
    <w:p>
      <w:r>
        <w:t>Integration with existing ETL pipelines and real-time telemetry streams is prioritised. The architecture facilitates seamless data ingestion and transformation, providing high-fidelity signals for executive monitoring tools. Performance optimisation is achieved through intelligent caching and the reduction of redundant network traversals.</w:t>
      </w:r>
    </w:p>
    <w:p>
      <w:r>
        <w:t>Operational health is monitored via granular instrumentation, allowing for the detection of performance anomalies at the micro-service level. This technical rigour ensures that every deployment cycle contributes to the overall stability and reliability of the corporate technical ecosystem.</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Governance, Security &amp; Error Handling</w:t>
      </w:r>
    </w:p>
    <w:p>
      <w:r>
        <w:t>Governance protocols for '{title}' are defined by a 'Secure by Architecture' philosophy. Access control mechanisms are integrated at the protocol level, ensuring that only authorised service identities can interact with sensitive technical state. Compliance with international security standards and internal reliability mandates is enforced through automated audit trails.</w:t>
      </w:r>
    </w:p>
    <w:p>
      <w:r>
        <w:t>Security guardrails include the use of hardware-level encryption (at rest and in transit) and the implementation of robust identity and access management (IAM) policies. Vulnerability assessments are performed as part of the initialisation sequence, protecting the enterprise against horizontal movement and unauthorized data exfiltration.</w:t>
      </w:r>
    </w:p>
    <w:p>
      <w:r>
        <w:t>Error handling logic is designed for maximum resilience. The system implements a multi-tiered failover strategy, including circuit-breakers and exponential backoff mechanisms to mitigate the risk of cascading failures. Operational visibility into error states is provided via a centralised logging fabric, supporting rapid root-cause analysis.</w:t>
      </w:r>
    </w:p>
    <w:p>
      <w:r>
        <w:t>Risk mitigation is further enhanced by the use of 'Semantic Integrity Checks' which validate the logical consistency of all system inputs and outputs. This ensures that erroneous data is quarantined before it can impact the stability of downstream dependencies, upholding the honour of the production environment.</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Pr>
        <w:pStyle w:val="Heading2"/>
      </w:pPr>
      <w:r>
        <w:t>Scalability &amp; Modernisation Roadmap</w:t>
      </w:r>
    </w:p>
    <w:p>
      <w:r>
        <w:t>Future-proofing is initialised through the adoption of cloud-agnostic deployment patterns. The '{title}' roadmap includes the transition to containerised workloads and the integration of serverless execution environments, allowing for horizontal scalability that meets the dynamic demands of a data-intensive global economy.</w:t>
      </w:r>
    </w:p>
    <w:p>
      <w:r>
        <w:t>AI integration is a core component of the modernisation strategy. The asset is architected to facilitate the deployment of agentic swarms and LLM-driven diagnostic tools. By providing high-quality, structured data feeds, '{title}' enables the training of domain-specific models that can automate routine maintenance and optimisation tasks.</w:t>
      </w:r>
    </w:p>
    <w:p>
      <w:r>
        <w:t>Long-term roadmap objectives include the initialisation of 'Self-Healing' infrastructure and the adoption of quantum-resistant cryptographic standards. These efforts ensure that the technical capability remains at the frontier of the industry, capable of supporting the enterprise requirements through the 2050 horizon.</w:t>
      </w:r>
    </w:p>
    <w:p>
      <w:r>
        <w:t>Modernisation cycles are governed by a 'Continuous Evolution' programme, ensuring that legacy technical debt is systematically retired as new capabilities are introduced. This disciplined approach to architecture ensures that the systems remain vibrant, secure, and fully aligned with the overarching organisational mission.</w:t>
      </w:r>
    </w:p>
    <w:p>
      <w:r>
        <w:t>Technical documentation for this asset is maintained within the centralised repository, ensuring that every engineering stakeholder has access to the most recent architectural schematics and deployment logs. Adherence to these standards is monitored through automated compliance gates, ensuring that the enterprise-wide technical integrity remains non-negotiable.</w:t>
      </w:r>
    </w:p>
    <w:p/>
    <w:p>
      <w:r>
        <w:t>--------------------</w:t>
      </w:r>
    </w:p>
    <w:p>
      <w:r>
        <w:t>END OF TECHNICAL BRIEFING: ARCHITECTURAL INTEGRITY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