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6"/>
        </w:rPr>
        <w:t>NEW CARD: [1101_access_control]</w:t>
      </w:r>
    </w:p>
    <w:p>
      <w:pPr>
        <w:pStyle w:val="Heading1"/>
      </w:pPr>
      <w:r>
        <w:t>Access Control &amp; Security</w:t>
      </w:r>
    </w:p>
    <w:p>
      <w:pPr>
        <w:pStyle w:val="Heading2"/>
      </w:pPr>
      <w:r>
        <w:t>Executive Summary</w:t>
      </w:r>
    </w:p>
    <w:p>
      <w:r>
        <w:t>The 'Access Control &amp; Security' asset represents a critical component within the overarching 30-year engineering lifecycle. Its strategic integration ensures the modernisation of our technical infrastructure, aligning with the long-term programme for enterprise excellence. No description available.</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[1243_access_controls]</w:t>
      </w:r>
    </w:p>
    <w:p>
      <w:pPr>
        <w:pStyle w:val="Heading1"/>
      </w:pPr>
      <w:r>
        <w:t>Access controls</w:t>
      </w:r>
    </w:p>
    <w:p>
      <w:pPr>
        <w:pStyle w:val="Heading2"/>
      </w:pPr>
      <w:r>
        <w:t>Executive Summary</w:t>
      </w:r>
    </w:p>
    <w:p>
      <w:r>
        <w:t xml:space="preserve">The 'Access controls' asset represents a critical component within the overarching 30-year engineering lifecycle. Its strategic integration ensures the modernisation of our technical infrastructure, aligning with the long-term programme for enterprise excellence. </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[1343_active_directory_basics]</w:t>
      </w:r>
    </w:p>
    <w:p>
      <w:pPr>
        <w:pStyle w:val="Heading1"/>
      </w:pPr>
      <w:r>
        <w:t>Active Directory Basics</w:t>
      </w:r>
    </w:p>
    <w:p>
      <w:pPr>
        <w:pStyle w:val="Heading2"/>
      </w:pPr>
      <w:r>
        <w:t>Executive Summary</w:t>
      </w:r>
    </w:p>
    <w:p>
      <w:r>
        <w:t>The 'Active Directory Basics' asset represents a critical component within the overarching 30-year engineering lifecycle. Its strategic integration ensures the modernisation of our technical infrastructure, aligning with the long-term programme for enterprise excellence. Core understanding of Active Directory structure, domains, OUs, group policies, and directory services for identity management.</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[1290_ad_hoc_reports]</w:t>
      </w:r>
    </w:p>
    <w:p>
      <w:pPr>
        <w:pStyle w:val="Heading1"/>
      </w:pPr>
      <w:r>
        <w:t>Ad-Hoc Reports</w:t>
      </w:r>
    </w:p>
    <w:p>
      <w:pPr>
        <w:pStyle w:val="Heading2"/>
      </w:pPr>
      <w:r>
        <w:t>Executive Summary</w:t>
      </w:r>
    </w:p>
    <w:p>
      <w:r>
        <w:t>The 'Ad-Hoc Reports' asset represents a critical component within the overarching 30-year engineering lifecycle. Its strategic integration ensures the modernisation of our technical infrastructure, aligning with the long-term programme for enterprise excellence. One-off reports created to answer specific business questions or investigate anomalies. Flexible, often created in response to emerging needs or management requests</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[1405_advanced_chemical_discovery]</w:t>
      </w:r>
    </w:p>
    <w:p>
      <w:pPr>
        <w:pStyle w:val="Heading1"/>
      </w:pPr>
      <w:r>
        <w:t>Advanced Chemical Discovery</w:t>
      </w:r>
    </w:p>
    <w:p>
      <w:pPr>
        <w:pStyle w:val="Heading2"/>
      </w:pPr>
      <w:r>
        <w:t>Executive Summary</w:t>
      </w:r>
    </w:p>
    <w:p>
      <w:r>
        <w:t>The 'Advanced Chemical Discovery' asset represents a critical component within the overarching 30-year engineering lifecycle. Its strategic integration ensures the modernisation of our technical infrastructure, aligning with the long-term programme for enterprise excellence. Developed data-driven approaches to accelerate chemical discovery and experimentation.</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[10075_agentic_modernisation_the_innovation_hub]</w:t>
      </w:r>
    </w:p>
    <w:p>
      <w:pPr>
        <w:pStyle w:val="Heading1"/>
      </w:pPr>
      <w:r>
        <w:t>Agentic Modernisation: The Innovation Hub</w:t>
      </w:r>
    </w:p>
    <w:p>
      <w:pPr>
        <w:pStyle w:val="Heading2"/>
      </w:pPr>
      <w:r>
        <w:t>Executive Summary</w:t>
      </w:r>
    </w:p>
    <w:p>
      <w:r>
        <w:t>The 'Agentic Modernisation: The Innovation Hub' asset represents a critical component within the overarching 30-year engineering lifecycle. Its strategic integration ensures the modernisation of our technical infrastructure, aligning with the long-term programme for enterprise excellence. Bridging the legacy gap with AI. Orchestrating agentic workflows, LLMs, and modern cloud architectures to transform static data into proactive business intelligence.</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[10082_agentic_orchestration_for_legacy]</w:t>
      </w:r>
    </w:p>
    <w:p>
      <w:pPr>
        <w:pStyle w:val="Heading1"/>
      </w:pPr>
      <w:r>
        <w:t>Agentic Orchestration for Legacy</w:t>
      </w:r>
    </w:p>
    <w:p>
      <w:pPr>
        <w:pStyle w:val="Heading2"/>
      </w:pPr>
      <w:r>
        <w:t>Executive Summary</w:t>
      </w:r>
    </w:p>
    <w:p>
      <w:r>
        <w:t>The 'Agentic Orchestration for Legacy' asset represents a critical component within the overarching 30-year engineering lifecycle. Its strategic integration ensures the modernisation of our technical infrastructure, aligning with the long-term programme for enterprise excellence. The Bridge: Using AI Agents as "Cognitive Middleware" to perform complex, multi-step tasks across legacy SQL, Oracle, and Mainframe systems.</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[10038_ai_machine_learning_the_intelligence]</w:t>
      </w:r>
    </w:p>
    <w:p>
      <w:pPr>
        <w:pStyle w:val="Heading1"/>
      </w:pPr>
      <w:r>
        <w:t>AI &amp; Machine Learning (The Intelligence)</w:t>
      </w:r>
    </w:p>
    <w:p>
      <w:pPr>
        <w:pStyle w:val="Heading2"/>
      </w:pPr>
      <w:r>
        <w:t>Executive Summary</w:t>
      </w:r>
    </w:p>
    <w:p>
      <w:r>
        <w:t>The 'AI &amp; Machine Learning (The Intelligence)' asset represents a critical component within the overarching 30-year engineering lifecycle. Its strategic integration ensures the modernisation of our technical infrastructure, aligning with the long-term programme for enterprise excellence. Definition: Tools to build, train, and deploy AI models and agents.Key Services: Azure OpenAI Service, Azure AI Foundry (Model Catalog), Azure AI Search. Transition from "Cognitive Services" to Unified AI Foundry for agentic AI development.</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[802_ai_doc_systems]</w:t>
      </w:r>
    </w:p>
    <w:p>
      <w:pPr>
        <w:pStyle w:val="Heading1"/>
      </w:pPr>
      <w:r>
        <w:t>AI Document Interrogation Systems</w:t>
      </w:r>
    </w:p>
    <w:p>
      <w:pPr>
        <w:pStyle w:val="Heading2"/>
      </w:pPr>
      <w:r>
        <w:t>Executive Summary</w:t>
      </w:r>
    </w:p>
    <w:p>
      <w:r>
        <w:t>The 'AI Document Interrogation Systems' asset represents a critical component within the overarching 30-year engineering lifecycle. Its strategic integration ensures the modernisation of our technical infrastructure, aligning with the long-term programme for enterprise excellence. No description available.</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p>
      <w:r>
        <w:br w:type="page"/>
      </w:r>
    </w:p>
    <w:p>
      <w:r>
        <w:rPr>
          <w:sz w:val="16"/>
        </w:rPr>
        <w:t>NEW CARD: [10079_ai_evaluation_red_teaming]</w:t>
      </w:r>
    </w:p>
    <w:p>
      <w:pPr>
        <w:pStyle w:val="Heading1"/>
      </w:pPr>
      <w:r>
        <w:t>AI Evaluation &amp; Red-Teaming</w:t>
      </w:r>
    </w:p>
    <w:p>
      <w:pPr>
        <w:pStyle w:val="Heading2"/>
      </w:pPr>
      <w:r>
        <w:t>Executive Summary</w:t>
      </w:r>
    </w:p>
    <w:p>
      <w:r>
        <w:t>The 'AI Evaluation &amp; Red-Teaming' asset represents a critical component within the overarching 30-year engineering lifecycle. Its strategic integration ensures the modernisation of our technical infrastructure, aligning with the long-term programme for enterprise excellence. Verification: Proactive adversarial testing. Identifying failure modes in LLMs (prompt injection, data leakage) before they reach production.</w:t>
      </w:r>
    </w:p>
    <w:p>
      <w:pPr>
        <w:pStyle w:val="Heading2"/>
      </w:pPr>
      <w:r>
        <w:t>Operational Continuity</w:t>
      </w:r>
    </w:p>
    <w:p>
      <w:r>
        <w:t>Maintaining the highest standards of reliability and stability is paramount for this asset. System health monitoring is integrated into the operational framework to mitigate risk and ensure seamless continuity of service across the global infrastructure.</w:t>
      </w:r>
    </w:p>
    <w:p>
      <w:pPr>
        <w:pStyle w:val="Heading2"/>
      </w:pPr>
      <w:r>
        <w:t>Governance &amp; Compliance</w:t>
      </w:r>
    </w:p>
    <w:p>
      <w:r>
        <w:t>Strict adherence to regulatory requirements and internal security protocols is mandatory. Risk management processes are prioritised to ensure full alignment with UK and international standards, upholding the integrity of the data and the security of the broader ecosystem.</w:t>
      </w:r>
    </w:p>
    <w:p>
      <w:pPr>
        <w:pStyle w:val="Heading2"/>
      </w:pPr>
      <w:r>
        <w:t>Strategic ROI</w:t>
      </w:r>
    </w:p>
    <w:p>
      <w:r>
        <w:t>The initialisation of this asset delivers measurable business value through enhanced cost-efficiency. Strategic alignment with organisational growth objectives ensures that the investment contributes directly to the company's long-term financial health and competitive advantage.</w:t>
      </w:r>
    </w:p>
    <w:p>
      <w:pPr>
        <w:pStyle w:val="Heading2"/>
      </w:pPr>
      <w:r>
        <w:t>Integration Roadmap</w:t>
      </w:r>
    </w:p>
    <w:p>
      <w:r>
        <w:t>Future-proofing is at the heart of the integration roadmap. The asset is designed for scalability, ensuring that as technology evolves, our systems remain robust and capable of supporting emerging requirements without the need for total re-engineering.</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