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969696"/>
          <w:sz w:val="16"/>
        </w:rPr>
        <w:t>NEW CARD: [1101_access_control]</w:t>
      </w:r>
    </w:p>
    <w:p>
      <w:pPr>
        <w:pStyle w:val="Heading1"/>
        <w:jc w:val="center"/>
      </w:pPr>
      <w:r>
        <w:t>Access Control &amp; Security</w:t>
      </w:r>
    </w:p>
    <w:p>
      <w:pPr>
        <w:jc w:val="center"/>
      </w:pPr>
      <w:r>
        <w:rPr>
          <w:b/>
        </w:rPr>
        <w:t>Architectural Perspective: Lens C (Production Order: Polymorphic)</w:t>
      </w:r>
    </w:p>
    <w:p>
      <w:pPr>
        <w:pStyle w:val="Heading2"/>
      </w:pPr>
      <w:r>
        <w:t>Executive Summary</w:t>
      </w:r>
    </w:p>
    <w:p>
      <w:r>
        <w:t>The 'Access Control &amp; Security' deployment represents a critical interface between our digital strategy and real-world operations. As Chief Systems Architect, my primary concern is the safe and efficient execution of these processes within highly complex industrial environments. This asset is vital for the mitigation of operational risk and the maintenance of our institutional reputation for excellence.</w:t>
      </w:r>
    </w:p>
    <w:p>
      <w:r>
        <w:t>This operational asset is centred on the practical application of our technical capabilities to solve tangible business challenges in the field. By initialising this programme, we are closing the gap between high-level architectural theory and 'on-the-ground' reality. Information pending.</w:t>
      </w:r>
    </w:p>
    <w:p>
      <w:r>
        <w:t>Our field evaluations indicate that the '{title}' methodology provides a substantial safety buffer for our frontline workers while simultaneously improving the precision of our engineering outputs. This synergy of safety and performance is the hallmark of our operational modernisation initiative, ensuring that we remain the partner of choice for high-complexity industrial projects.</w:t>
      </w:r>
    </w:p>
    <w:p>
      <w:r>
        <w:t>We must also note the 'Operational Integrity' metrics associated with this asset. By tracking the delta between planned and actual deployment logistics, we can continuously refine our predictive models, leading to a state of 'Hyper-Efficiency' in our global service delivery.</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Enterprise Impact</w:t>
      </w:r>
    </w:p>
    <w:p>
      <w:r>
        <w:t>The enterprise-wide impact of this asset is measured in operational safety and reliability. By standardising our deployment logistics, we ensure that every project—regardless of geographical location or complexity—is executed with the same degree of professional rigour and oversight.</w:t>
      </w:r>
    </w:p>
    <w:p>
      <w:r>
        <w:t>Furthermore, this asset enhances our stakeholder engagement by providing clear, visual evidence of our operational progress. Whether it is through advanced reporting or real-time telemetry, the '{title}' allows us to demonstrate our commitment to quality and transparency to our clients, partners, and regulatory bodies, thereby enhancing our collective brand equity.</w:t>
      </w:r>
    </w:p>
    <w:p>
      <w:r>
        <w:t>On a macro-economic scale, this asset reduces our total cost of ownership (TCO) for physical infrastructure by extending the operational lifespan of our assets. This is achieved through predictive maintenance and a more nuanced understanding of the lifecycle stresses placed upon our systems during real-world exposure.</w:t>
      </w:r>
    </w:p>
    <w:p>
      <w:r>
        <w:t>Internally, it serves as a 'Knowledge Bridge' between our senior engineers and our emerging technical talent. By codifying our operational expertise within this asset, we ensure that our 'Institutional Honour' and best practices are passed down to the next generation of leaders.</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Risk &amp; Governance</w:t>
      </w:r>
    </w:p>
    <w:p>
      <w:r>
        <w:t>Governance in the operational lens is synonymous with safety. We have applied a comprehensive risk management framework that identifies every potential failure mode within the deployment lifecycle. Our compliance with industrial health and safety regulations is absolute, ensuring the protection of both our personnel and our physical assets within any environment.</w:t>
      </w:r>
    </w:p>
    <w:p>
      <w:r>
        <w:t>Risk mitigation is further bolstered by our 'Regression Testing for Reality' protocol. Before any operational change is initialised, it is simulated within a digital-twin environment to ensure that there are no unforeseen consequences for our existing workflows or infrastructure, protecting our continuity of service.</w:t>
      </w:r>
    </w:p>
    <w:p>
      <w:r>
        <w:t>In addition to physical safety, we have implemented 'Ethical Guardrails' to govern how staff interact with these advanced systems. This protects our corporate culture and ensures that the human element remains central to our engineering mission even as we increase our reliance on automated and AI-driven processes.</w:t>
      </w:r>
    </w:p>
    <w:p>
      <w:r>
        <w:t>Finally, we have established a 'Global Incident Response' (GIR) taskforce that monitors the health of these operational assets 24/7. In the event of an anomaly, this team has the authority to initialise local 'Safe-State' protocols, ensuring that any disruption is contained and remediated with surgical precision.</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Future-Proofing</w:t>
      </w:r>
    </w:p>
    <w:p>
      <w:r>
        <w:t>We are currently initialising the integration of edge-computing and AI-driven monitoring for our operational assets. This will allow the '{title}' to become a self-correcting system, capable of adjusting to environmental changes in real-time without human intervention, thereby increasing our overall organisational resilience.</w:t>
      </w:r>
    </w:p>
    <w:p>
      <w:r>
        <w:t>Our scalability roadmap for this asset focuses on the globalisation of our operational standards. By creating a 'Blueprint for Excellence', we can replicate these successes across new territories and industries, ensuring that our organisation remains at the forefront of the global industrial modernisation programme through the 2030s.</w:t>
      </w:r>
    </w:p>
    <w:p>
      <w:r>
        <w:t>Specifically, we are preparing for the 'Post-Human' production phase, where high-risk environments are managed entirely by robotic swarms controlled by central AI architects, with human oversight remaining at the strategic level to honour our commitment to ethical accountability and strategic leadership.</w:t>
      </w:r>
    </w:p>
    <w:p>
      <w:r>
        <w:t>To support this transition, we are investing in 'Augmented Reality' (AR) training protocols for our field staff. This allows our personnel to 'see' the underlying system architecture in real-time as they perform their duties, ensuring that the interface between digital command and physical execution remains seamless and intuitive.</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
    <w:p/>
    <w:p/>
    <w:p/>
    <w:p>
      <w:pPr>
        <w:pStyle w:val="Heading2"/>
      </w:pPr>
      <w:r>
        <w:t>Board Memo: Strategic Alignment</w:t>
      </w:r>
    </w:p>
    <w:p>
      <w:r>
        <w:t>This document serves as a formal recommendation from the Office of the Chief Systems Architect. The initialisation of this asset is deemed high-priority for the 2026-2027 fiscal modernisation programme. We have conducted a thorough interrogation of the underlying data structures and operational risk profiles, concluding that the 'Access Control &amp; Security' asset is fully aligned with our commitment to enterprise integrity and risk mitigation. We advise the Board to proceed with full-scale initialisation as per the roadmap.</w:t>
      </w:r>
    </w:p>
    <w:p>
      <w:r>
        <w:br w:type="page"/>
      </w:r>
    </w:p>
    <w:p>
      <w:r>
        <w:rPr>
          <w:i/>
          <w:color w:val="969696"/>
          <w:sz w:val="16"/>
        </w:rPr>
        <w:t>NEW CARD: [1243_access_controls]</w:t>
      </w:r>
    </w:p>
    <w:p>
      <w:pPr>
        <w:pStyle w:val="Heading1"/>
        <w:jc w:val="center"/>
      </w:pPr>
      <w:r>
        <w:t>Access controls</w:t>
      </w:r>
    </w:p>
    <w:p>
      <w:pPr>
        <w:jc w:val="center"/>
      </w:pPr>
      <w:r>
        <w:rPr>
          <w:b/>
        </w:rPr>
        <w:t>Architectural Perspective: Lens C (Production Order: Polymorphic)</w:t>
      </w:r>
    </w:p>
    <w:p>
      <w:pPr>
        <w:pStyle w:val="Heading2"/>
      </w:pPr>
      <w:r>
        <w:t>Executive Summary</w:t>
      </w:r>
    </w:p>
    <w:p>
      <w:r>
        <w:t>The 'Access controls' deployment represents a critical interface between our digital strategy and real-world operations. As Chief Systems Architect, my primary concern is the safe and efficient execution of these processes within highly complex industrial environments. This asset is vital for the mitigation of operational risk and the maintenance of our institutional reputation for excellence.</w:t>
      </w:r>
    </w:p>
    <w:p>
      <w:r>
        <w:t xml:space="preserve">This operational asset is centred on the practical application of our technical capabilities to solve tangible business challenges in the field. By initialising this programme, we are closing the gap between high-level architectural theory and 'on-the-ground' reality. </w:t>
      </w:r>
    </w:p>
    <w:p>
      <w:r>
        <w:t>Our field evaluations indicate that the '{title}' methodology provides a substantial safety buffer for our frontline workers while simultaneously improving the precision of our engineering outputs. This synergy of safety and performance is the hallmark of our operational modernisation initiative, ensuring that we remain the partner of choice for high-complexity industrial projects.</w:t>
      </w:r>
    </w:p>
    <w:p>
      <w:r>
        <w:t>We must also note the 'Operational Integrity' metrics associated with this asset. By tracking the delta between planned and actual deployment logistics, we can continuously refine our predictive models, leading to a state of 'Hyper-Efficiency' in our global service delivery.</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Enterprise Impact</w:t>
      </w:r>
    </w:p>
    <w:p>
      <w:r>
        <w:t>The enterprise-wide impact of this asset is measured in operational safety and reliability. By standardising our deployment logistics, we ensure that every project—regardless of geographical location or complexity—is executed with the same degree of professional rigour and oversight.</w:t>
      </w:r>
    </w:p>
    <w:p>
      <w:r>
        <w:t>Furthermore, this asset enhances our stakeholder engagement by providing clear, visual evidence of our operational progress. Whether it is through advanced reporting or real-time telemetry, the '{title}' allows us to demonstrate our commitment to quality and transparency to our clients, partners, and regulatory bodies, thereby enhancing our collective brand equity.</w:t>
      </w:r>
    </w:p>
    <w:p>
      <w:r>
        <w:t>On a macro-economic scale, this asset reduces our total cost of ownership (TCO) for physical infrastructure by extending the operational lifespan of our assets. This is achieved through predictive maintenance and a more nuanced understanding of the lifecycle stresses placed upon our systems during real-world exposure.</w:t>
      </w:r>
    </w:p>
    <w:p>
      <w:r>
        <w:t>Internally, it serves as a 'Knowledge Bridge' between our senior engineers and our emerging technical talent. By codifying our operational expertise within this asset, we ensure that our 'Institutional Honour' and best practices are passed down to the next generation of leaders.</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Risk &amp; Governance</w:t>
      </w:r>
    </w:p>
    <w:p>
      <w:r>
        <w:t>Governance in the operational lens is synonymous with safety. We have applied a comprehensive risk management framework that identifies every potential failure mode within the deployment lifecycle. Our compliance with industrial health and safety regulations is absolute, ensuring the protection of both our personnel and our physical assets within any environment.</w:t>
      </w:r>
    </w:p>
    <w:p>
      <w:r>
        <w:t>Risk mitigation is further bolstered by our 'Regression Testing for Reality' protocol. Before any operational change is initialised, it is simulated within a digital-twin environment to ensure that there are no unforeseen consequences for our existing workflows or infrastructure, protecting our continuity of service.</w:t>
      </w:r>
    </w:p>
    <w:p>
      <w:r>
        <w:t>In addition to physical safety, we have implemented 'Ethical Guardrails' to govern how staff interact with these advanced systems. This protects our corporate culture and ensures that the human element remains central to our engineering mission even as we increase our reliance on automated and AI-driven processes.</w:t>
      </w:r>
    </w:p>
    <w:p>
      <w:r>
        <w:t>Finally, we have established a 'Global Incident Response' (GIR) taskforce that monitors the health of these operational assets 24/7. In the event of an anomaly, this team has the authority to initialise local 'Safe-State' protocols, ensuring that any disruption is contained and remediated with surgical precision.</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Future-Proofing</w:t>
      </w:r>
    </w:p>
    <w:p>
      <w:r>
        <w:t>We are currently initialising the integration of edge-computing and AI-driven monitoring for our operational assets. This will allow the '{title}' to become a self-correcting system, capable of adjusting to environmental changes in real-time without human intervention, thereby increasing our overall organisational resilience.</w:t>
      </w:r>
    </w:p>
    <w:p>
      <w:r>
        <w:t>Our scalability roadmap for this asset focuses on the globalisation of our operational standards. By creating a 'Blueprint for Excellence', we can replicate these successes across new territories and industries, ensuring that our organisation remains at the forefront of the global industrial modernisation programme through the 2030s.</w:t>
      </w:r>
    </w:p>
    <w:p>
      <w:r>
        <w:t>Specifically, we are preparing for the 'Post-Human' production phase, where high-risk environments are managed entirely by robotic swarms controlled by central AI architects, with human oversight remaining at the strategic level to honour our commitment to ethical accountability and strategic leadership.</w:t>
      </w:r>
    </w:p>
    <w:p>
      <w:r>
        <w:t>To support this transition, we are investing in 'Augmented Reality' (AR) training protocols for our field staff. This allows our personnel to 'see' the underlying system architecture in real-time as they perform their duties, ensuring that the interface between digital command and physical execution remains seamless and intuitive.</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
    <w:p/>
    <w:p/>
    <w:p/>
    <w:p>
      <w:pPr>
        <w:pStyle w:val="Heading2"/>
      </w:pPr>
      <w:r>
        <w:t>Board Memo: Strategic Alignment</w:t>
      </w:r>
    </w:p>
    <w:p>
      <w:r>
        <w:t>This document serves as a formal recommendation from the Office of the Chief Systems Architect. The initialisation of this asset is deemed high-priority for the 2026-2027 fiscal modernisation programme. We have conducted a thorough interrogation of the underlying data structures and operational risk profiles, concluding that the 'Access controls' asset is fully aligned with our commitment to enterprise integrity and risk mitigation. We advise the Board to proceed with full-scale initialisation as per the roadmap.</w:t>
      </w:r>
    </w:p>
    <w:p>
      <w:r>
        <w:br w:type="page"/>
      </w:r>
    </w:p>
    <w:p>
      <w:r>
        <w:rPr>
          <w:i/>
          <w:color w:val="969696"/>
          <w:sz w:val="16"/>
        </w:rPr>
        <w:t>NEW CARD: [1343_active_directory_basics]</w:t>
      </w:r>
    </w:p>
    <w:p>
      <w:pPr>
        <w:pStyle w:val="Heading1"/>
        <w:jc w:val="center"/>
      </w:pPr>
      <w:r>
        <w:t>Active Directory Basics</w:t>
      </w:r>
    </w:p>
    <w:p>
      <w:pPr>
        <w:jc w:val="center"/>
      </w:pPr>
      <w:r>
        <w:rPr>
          <w:b/>
        </w:rPr>
        <w:t>Architectural Perspective: Lens C (Production Order: Polymorphic)</w:t>
      </w:r>
    </w:p>
    <w:p>
      <w:pPr>
        <w:pStyle w:val="Heading2"/>
      </w:pPr>
      <w:r>
        <w:t>Executive Summary</w:t>
      </w:r>
    </w:p>
    <w:p>
      <w:r>
        <w:t>The 'Active Directory Basics' deployment represents a critical interface between our digital strategy and real-world operations. As Chief Systems Architect, my primary concern is the safe and efficient execution of these processes within highly complex industrial environments. This asset is vital for the mitigation of operational risk and the maintenance of our institutional reputation for excellence.</w:t>
      </w:r>
    </w:p>
    <w:p>
      <w:r>
        <w:t>This operational asset is centred on the practical application of our technical capabilities to solve tangible business challenges in the field. By initialising this programme, we are closing the gap between high-level architectural theory and 'on-the-ground' reality. Core understanding of Active Directory structure, domains, OUs, group policies, and directory services for identity management.</w:t>
      </w:r>
    </w:p>
    <w:p>
      <w:r>
        <w:t>Our field evaluations indicate that the '{title}' methodology provides a substantial safety buffer for our frontline workers while simultaneously improving the precision of our engineering outputs. This synergy of safety and performance is the hallmark of our operational modernisation initiative, ensuring that we remain the partner of choice for high-complexity industrial projects.</w:t>
      </w:r>
    </w:p>
    <w:p>
      <w:r>
        <w:t>We must also note the 'Operational Integrity' metrics associated with this asset. By tracking the delta between planned and actual deployment logistics, we can continuously refine our predictive models, leading to a state of 'Hyper-Efficiency' in our global service delivery.</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Enterprise Impact</w:t>
      </w:r>
    </w:p>
    <w:p>
      <w:r>
        <w:t>The enterprise-wide impact of this asset is measured in operational safety and reliability. By standardising our deployment logistics, we ensure that every project—regardless of geographical location or complexity—is executed with the same degree of professional rigour and oversight.</w:t>
      </w:r>
    </w:p>
    <w:p>
      <w:r>
        <w:t>Furthermore, this asset enhances our stakeholder engagement by providing clear, visual evidence of our operational progress. Whether it is through advanced reporting or real-time telemetry, the '{title}' allows us to demonstrate our commitment to quality and transparency to our clients, partners, and regulatory bodies, thereby enhancing our collective brand equity.</w:t>
      </w:r>
    </w:p>
    <w:p>
      <w:r>
        <w:t>On a macro-economic scale, this asset reduces our total cost of ownership (TCO) for physical infrastructure by extending the operational lifespan of our assets. This is achieved through predictive maintenance and a more nuanced understanding of the lifecycle stresses placed upon our systems during real-world exposure.</w:t>
      </w:r>
    </w:p>
    <w:p>
      <w:r>
        <w:t>Internally, it serves as a 'Knowledge Bridge' between our senior engineers and our emerging technical talent. By codifying our operational expertise within this asset, we ensure that our 'Institutional Honour' and best practices are passed down to the next generation of leaders.</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Risk &amp; Governance</w:t>
      </w:r>
    </w:p>
    <w:p>
      <w:r>
        <w:t>Governance in the operational lens is synonymous with safety. We have applied a comprehensive risk management framework that identifies every potential failure mode within the deployment lifecycle. Our compliance with industrial health and safety regulations is absolute, ensuring the protection of both our personnel and our physical assets within any environment.</w:t>
      </w:r>
    </w:p>
    <w:p>
      <w:r>
        <w:t>Risk mitigation is further bolstered by our 'Regression Testing for Reality' protocol. Before any operational change is initialised, it is simulated within a digital-twin environment to ensure that there are no unforeseen consequences for our existing workflows or infrastructure, protecting our continuity of service.</w:t>
      </w:r>
    </w:p>
    <w:p>
      <w:r>
        <w:t>In addition to physical safety, we have implemented 'Ethical Guardrails' to govern how staff interact with these advanced systems. This protects our corporate culture and ensures that the human element remains central to our engineering mission even as we increase our reliance on automated and AI-driven processes.</w:t>
      </w:r>
    </w:p>
    <w:p>
      <w:r>
        <w:t>Finally, we have established a 'Global Incident Response' (GIR) taskforce that monitors the health of these operational assets 24/7. In the event of an anomaly, this team has the authority to initialise local 'Safe-State' protocols, ensuring that any disruption is contained and remediated with surgical precision.</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Future-Proofing</w:t>
      </w:r>
    </w:p>
    <w:p>
      <w:r>
        <w:t>We are currently initialising the integration of edge-computing and AI-driven monitoring for our operational assets. This will allow the '{title}' to become a self-correcting system, capable of adjusting to environmental changes in real-time without human intervention, thereby increasing our overall organisational resilience.</w:t>
      </w:r>
    </w:p>
    <w:p>
      <w:r>
        <w:t>Our scalability roadmap for this asset focuses on the globalisation of our operational standards. By creating a 'Blueprint for Excellence', we can replicate these successes across new territories and industries, ensuring that our organisation remains at the forefront of the global industrial modernisation programme through the 2030s.</w:t>
      </w:r>
    </w:p>
    <w:p>
      <w:r>
        <w:t>Specifically, we are preparing for the 'Post-Human' production phase, where high-risk environments are managed entirely by robotic swarms controlled by central AI architects, with human oversight remaining at the strategic level to honour our commitment to ethical accountability and strategic leadership.</w:t>
      </w:r>
    </w:p>
    <w:p>
      <w:r>
        <w:t>To support this transition, we are investing in 'Augmented Reality' (AR) training protocols for our field staff. This allows our personnel to 'see' the underlying system architecture in real-time as they perform their duties, ensuring that the interface between digital command and physical execution remains seamless and intuitive.</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
    <w:p/>
    <w:p/>
    <w:p/>
    <w:p>
      <w:pPr>
        <w:pStyle w:val="Heading2"/>
      </w:pPr>
      <w:r>
        <w:t>Board Memo: Strategic Alignment</w:t>
      </w:r>
    </w:p>
    <w:p>
      <w:r>
        <w:t>This document serves as a formal recommendation from the Office of the Chief Systems Architect. The initialisation of this asset is deemed high-priority for the 2026-2027 fiscal modernisation programme. We have conducted a thorough interrogation of the underlying data structures and operational risk profiles, concluding that the 'Active Directory Basics' asset is fully aligned with our commitment to enterprise integrity and risk mitigation. We advise the Board to proceed with full-scale initialisation as per the roadmap.</w:t>
      </w:r>
    </w:p>
    <w:p>
      <w:r>
        <w:br w:type="page"/>
      </w:r>
    </w:p>
    <w:p>
      <w:r>
        <w:rPr>
          <w:i/>
          <w:color w:val="969696"/>
          <w:sz w:val="16"/>
        </w:rPr>
        <w:t>NEW CARD: [1290_ad_hoc_reports]</w:t>
      </w:r>
    </w:p>
    <w:p>
      <w:pPr>
        <w:pStyle w:val="Heading1"/>
        <w:jc w:val="center"/>
      </w:pPr>
      <w:r>
        <w:t>Ad-Hoc Reports</w:t>
      </w:r>
    </w:p>
    <w:p>
      <w:pPr>
        <w:jc w:val="center"/>
      </w:pPr>
      <w:r>
        <w:rPr>
          <w:b/>
        </w:rPr>
        <w:t>Architectural Perspective: Lens C (Production Order: Polymorphic)</w:t>
      </w:r>
    </w:p>
    <w:p>
      <w:pPr>
        <w:pStyle w:val="Heading2"/>
      </w:pPr>
      <w:r>
        <w:t>Executive Summary</w:t>
      </w:r>
    </w:p>
    <w:p>
      <w:r>
        <w:t>The 'Ad-Hoc Reports' deployment represents a critical interface between our digital strategy and real-world operations. As Chief Systems Architect, my primary concern is the safe and efficient execution of these processes within highly complex industrial environments. This asset is vital for the mitigation of operational risk and the maintenance of our institutional reputation for excellence.</w:t>
      </w:r>
    </w:p>
    <w:p>
      <w:r>
        <w:t>This operational asset is centred on the practical application of our technical capabilities to solve tangible business challenges in the field. By initialising this programme, we are closing the gap between high-level architectural theory and 'on-the-ground' reality. One-off reports created to answer specific business questions or investigate anomalies. Flexible, often created in response to emerging needs or management requests</w:t>
      </w:r>
    </w:p>
    <w:p>
      <w:r>
        <w:t>Our field evaluations indicate that the '{title}' methodology provides a substantial safety buffer for our frontline workers while simultaneously improving the precision of our engineering outputs. This synergy of safety and performance is the hallmark of our operational modernisation initiative, ensuring that we remain the partner of choice for high-complexity industrial projects.</w:t>
      </w:r>
    </w:p>
    <w:p>
      <w:r>
        <w:t>We must also note the 'Operational Integrity' metrics associated with this asset. By tracking the delta between planned and actual deployment logistics, we can continuously refine our predictive models, leading to a state of 'Hyper-Efficiency' in our global service delivery.</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Enterprise Impact</w:t>
      </w:r>
    </w:p>
    <w:p>
      <w:r>
        <w:t>The enterprise-wide impact of this asset is measured in operational safety and reliability. By standardising our deployment logistics, we ensure that every project—regardless of geographical location or complexity—is executed with the same degree of professional rigour and oversight.</w:t>
      </w:r>
    </w:p>
    <w:p>
      <w:r>
        <w:t>Furthermore, this asset enhances our stakeholder engagement by providing clear, visual evidence of our operational progress. Whether it is through advanced reporting or real-time telemetry, the '{title}' allows us to demonstrate our commitment to quality and transparency to our clients, partners, and regulatory bodies, thereby enhancing our collective brand equity.</w:t>
      </w:r>
    </w:p>
    <w:p>
      <w:r>
        <w:t>On a macro-economic scale, this asset reduces our total cost of ownership (TCO) for physical infrastructure by extending the operational lifespan of our assets. This is achieved through predictive maintenance and a more nuanced understanding of the lifecycle stresses placed upon our systems during real-world exposure.</w:t>
      </w:r>
    </w:p>
    <w:p>
      <w:r>
        <w:t>Internally, it serves as a 'Knowledge Bridge' between our senior engineers and our emerging technical talent. By codifying our operational expertise within this asset, we ensure that our 'Institutional Honour' and best practices are passed down to the next generation of leaders.</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Risk &amp; Governance</w:t>
      </w:r>
    </w:p>
    <w:p>
      <w:r>
        <w:t>Governance in the operational lens is synonymous with safety. We have applied a comprehensive risk management framework that identifies every potential failure mode within the deployment lifecycle. Our compliance with industrial health and safety regulations is absolute, ensuring the protection of both our personnel and our physical assets within any environment.</w:t>
      </w:r>
    </w:p>
    <w:p>
      <w:r>
        <w:t>Risk mitigation is further bolstered by our 'Regression Testing for Reality' protocol. Before any operational change is initialised, it is simulated within a digital-twin environment to ensure that there are no unforeseen consequences for our existing workflows or infrastructure, protecting our continuity of service.</w:t>
      </w:r>
    </w:p>
    <w:p>
      <w:r>
        <w:t>In addition to physical safety, we have implemented 'Ethical Guardrails' to govern how staff interact with these advanced systems. This protects our corporate culture and ensures that the human element remains central to our engineering mission even as we increase our reliance on automated and AI-driven processes.</w:t>
      </w:r>
    </w:p>
    <w:p>
      <w:r>
        <w:t>Finally, we have established a 'Global Incident Response' (GIR) taskforce that monitors the health of these operational assets 24/7. In the event of an anomaly, this team has the authority to initialise local 'Safe-State' protocols, ensuring that any disruption is contained and remediated with surgical precision.</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Future-Proofing</w:t>
      </w:r>
    </w:p>
    <w:p>
      <w:r>
        <w:t>We are currently initialising the integration of edge-computing and AI-driven monitoring for our operational assets. This will allow the '{title}' to become a self-correcting system, capable of adjusting to environmental changes in real-time without human intervention, thereby increasing our overall organisational resilience.</w:t>
      </w:r>
    </w:p>
    <w:p>
      <w:r>
        <w:t>Our scalability roadmap for this asset focuses on the globalisation of our operational standards. By creating a 'Blueprint for Excellence', we can replicate these successes across new territories and industries, ensuring that our organisation remains at the forefront of the global industrial modernisation programme through the 2030s.</w:t>
      </w:r>
    </w:p>
    <w:p>
      <w:r>
        <w:t>Specifically, we are preparing for the 'Post-Human' production phase, where high-risk environments are managed entirely by robotic swarms controlled by central AI architects, with human oversight remaining at the strategic level to honour our commitment to ethical accountability and strategic leadership.</w:t>
      </w:r>
    </w:p>
    <w:p>
      <w:r>
        <w:t>To support this transition, we are investing in 'Augmented Reality' (AR) training protocols for our field staff. This allows our personnel to 'see' the underlying system architecture in real-time as they perform their duties, ensuring that the interface between digital command and physical execution remains seamless and intuitive.</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
    <w:p/>
    <w:p/>
    <w:p/>
    <w:p>
      <w:pPr>
        <w:pStyle w:val="Heading2"/>
      </w:pPr>
      <w:r>
        <w:t>Board Memo: Strategic Alignment</w:t>
      </w:r>
    </w:p>
    <w:p>
      <w:r>
        <w:t>This document serves as a formal recommendation from the Office of the Chief Systems Architect. The initialisation of this asset is deemed high-priority for the 2026-2027 fiscal modernisation programme. We have conducted a thorough interrogation of the underlying data structures and operational risk profiles, concluding that the 'Ad-Hoc Reports' asset is fully aligned with our commitment to enterprise integrity and risk mitigation. We advise the Board to proceed with full-scale initialisation as per the roadmap.</w:t>
      </w:r>
    </w:p>
    <w:p>
      <w:r>
        <w:br w:type="page"/>
      </w:r>
    </w:p>
    <w:p>
      <w:r>
        <w:rPr>
          <w:i/>
          <w:color w:val="969696"/>
          <w:sz w:val="16"/>
        </w:rPr>
        <w:t>NEW CARD: [1301_advanced_applied_analytics]</w:t>
      </w:r>
    </w:p>
    <w:p>
      <w:pPr>
        <w:pStyle w:val="Heading1"/>
        <w:jc w:val="center"/>
      </w:pPr>
      <w:r>
        <w:t>Advanced / Applied Analytics</w:t>
      </w:r>
    </w:p>
    <w:p>
      <w:pPr>
        <w:jc w:val="center"/>
      </w:pPr>
      <w:r>
        <w:rPr>
          <w:b/>
        </w:rPr>
        <w:t>Architectural Perspective: Lens C (Production Order: Polymorphic)</w:t>
      </w:r>
    </w:p>
    <w:p>
      <w:pPr>
        <w:pStyle w:val="Heading2"/>
      </w:pPr>
      <w:r>
        <w:t>Executive Summary</w:t>
      </w:r>
    </w:p>
    <w:p>
      <w:r>
        <w:t>The 'Advanced / Applied Analytics' deployment represents a critical interface between our digital strategy and real-world operations. As Chief Systems Architect, my primary concern is the safe and efficient execution of these processes within highly complex industrial environments. This asset is vital for the mitigation of operational risk and the maintenance of our institutional reputation for excellence.</w:t>
      </w:r>
    </w:p>
    <w:p>
      <w:r>
        <w:t>This operational asset is centred on the practical application of our technical capabilities to solve tangible business challenges in the field. By initialising this programme, we are closing the gap between high-level architectural theory and 'on-the-ground' reality. A showcase practical, high-value analytics work we have  done or could do.</w:t>
      </w:r>
    </w:p>
    <w:p>
      <w:r>
        <w:t>Our field evaluations indicate that the '{title}' methodology provides a substantial safety buffer for our frontline workers while simultaneously improving the precision of our engineering outputs. This synergy of safety and performance is the hallmark of our operational modernisation initiative, ensuring that we remain the partner of choice for high-complexity industrial projects.</w:t>
      </w:r>
    </w:p>
    <w:p>
      <w:r>
        <w:t>We must also note the 'Operational Integrity' metrics associated with this asset. By tracking the delta between planned and actual deployment logistics, we can continuously refine our predictive models, leading to a state of 'Hyper-Efficiency' in our global service delivery.</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Enterprise Impact</w:t>
      </w:r>
    </w:p>
    <w:p>
      <w:r>
        <w:t>The enterprise-wide impact of this asset is measured in operational safety and reliability. By standardising our deployment logistics, we ensure that every project—regardless of geographical location or complexity—is executed with the same degree of professional rigour and oversight.</w:t>
      </w:r>
    </w:p>
    <w:p>
      <w:r>
        <w:t>Furthermore, this asset enhances our stakeholder engagement by providing clear, visual evidence of our operational progress. Whether it is through advanced reporting or real-time telemetry, the '{title}' allows us to demonstrate our commitment to quality and transparency to our clients, partners, and regulatory bodies, thereby enhancing our collective brand equity.</w:t>
      </w:r>
    </w:p>
    <w:p>
      <w:r>
        <w:t>On a macro-economic scale, this asset reduces our total cost of ownership (TCO) for physical infrastructure by extending the operational lifespan of our assets. This is achieved through predictive maintenance and a more nuanced understanding of the lifecycle stresses placed upon our systems during real-world exposure.</w:t>
      </w:r>
    </w:p>
    <w:p>
      <w:r>
        <w:t>Internally, it serves as a 'Knowledge Bridge' between our senior engineers and our emerging technical talent. By codifying our operational expertise within this asset, we ensure that our 'Institutional Honour' and best practices are passed down to the next generation of leaders.</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Risk &amp; Governance</w:t>
      </w:r>
    </w:p>
    <w:p>
      <w:r>
        <w:t>Governance in the operational lens is synonymous with safety. We have applied a comprehensive risk management framework that identifies every potential failure mode within the deployment lifecycle. Our compliance with industrial health and safety regulations is absolute, ensuring the protection of both our personnel and our physical assets within any environment.</w:t>
      </w:r>
    </w:p>
    <w:p>
      <w:r>
        <w:t>Risk mitigation is further bolstered by our 'Regression Testing for Reality' protocol. Before any operational change is initialised, it is simulated within a digital-twin environment to ensure that there are no unforeseen consequences for our existing workflows or infrastructure, protecting our continuity of service.</w:t>
      </w:r>
    </w:p>
    <w:p>
      <w:r>
        <w:t>In addition to physical safety, we have implemented 'Ethical Guardrails' to govern how staff interact with these advanced systems. This protects our corporate culture and ensures that the human element remains central to our engineering mission even as we increase our reliance on automated and AI-driven processes.</w:t>
      </w:r>
    </w:p>
    <w:p>
      <w:r>
        <w:t>Finally, we have established a 'Global Incident Response' (GIR) taskforce that monitors the health of these operational assets 24/7. In the event of an anomaly, this team has the authority to initialise local 'Safe-State' protocols, ensuring that any disruption is contained and remediated with surgical precision.</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Future-Proofing</w:t>
      </w:r>
    </w:p>
    <w:p>
      <w:r>
        <w:t>We are currently initialising the integration of edge-computing and AI-driven monitoring for our operational assets. This will allow the '{title}' to become a self-correcting system, capable of adjusting to environmental changes in real-time without human intervention, thereby increasing our overall organisational resilience.</w:t>
      </w:r>
    </w:p>
    <w:p>
      <w:r>
        <w:t>Our scalability roadmap for this asset focuses on the globalisation of our operational standards. By creating a 'Blueprint for Excellence', we can replicate these successes across new territories and industries, ensuring that our organisation remains at the forefront of the global industrial modernisation programme through the 2030s.</w:t>
      </w:r>
    </w:p>
    <w:p>
      <w:r>
        <w:t>Specifically, we are preparing for the 'Post-Human' production phase, where high-risk environments are managed entirely by robotic swarms controlled by central AI architects, with human oversight remaining at the strategic level to honour our commitment to ethical accountability and strategic leadership.</w:t>
      </w:r>
    </w:p>
    <w:p>
      <w:r>
        <w:t>To support this transition, we are investing in 'Augmented Reality' (AR) training protocols for our field staff. This allows our personnel to 'see' the underlying system architecture in real-time as they perform their duties, ensuring that the interface between digital command and physical execution remains seamless and intuitive.</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
    <w:p/>
    <w:p/>
    <w:p/>
    <w:p>
      <w:pPr>
        <w:pStyle w:val="Heading2"/>
      </w:pPr>
      <w:r>
        <w:t>Board Memo: Strategic Alignment</w:t>
      </w:r>
    </w:p>
    <w:p>
      <w:r>
        <w:t>This document serves as a formal recommendation from the Office of the Chief Systems Architect. The initialisation of this asset is deemed high-priority for the 2026-2027 fiscal modernisation programme. We have conducted a thorough interrogation of the underlying data structures and operational risk profiles, concluding that the 'Advanced / Applied Analytics' asset is fully aligned with our commitment to enterprise integrity and risk mitigation. We advise the Board to proceed with full-scale initialisation as per the roadmap.</w:t>
      </w:r>
    </w:p>
    <w:p>
      <w:r>
        <w:br w:type="page"/>
      </w:r>
    </w:p>
    <w:p>
      <w:r>
        <w:rPr>
          <w:i/>
          <w:color w:val="969696"/>
          <w:sz w:val="16"/>
        </w:rPr>
        <w:t>NEW CARD: [1405_advanced_chemical_discovery]</w:t>
      </w:r>
    </w:p>
    <w:p>
      <w:pPr>
        <w:pStyle w:val="Heading1"/>
        <w:jc w:val="center"/>
      </w:pPr>
      <w:r>
        <w:t>Advanced Chemical Discovery</w:t>
      </w:r>
    </w:p>
    <w:p>
      <w:pPr>
        <w:jc w:val="center"/>
      </w:pPr>
      <w:r>
        <w:rPr>
          <w:b/>
        </w:rPr>
        <w:t>Architectural Perspective: Lens C (Production Order: Polymorphic)</w:t>
      </w:r>
    </w:p>
    <w:p>
      <w:pPr>
        <w:pStyle w:val="Heading2"/>
      </w:pPr>
      <w:r>
        <w:t>Executive Summary</w:t>
      </w:r>
    </w:p>
    <w:p>
      <w:r>
        <w:t>The 'Advanced Chemical Discovery' deployment represents a critical interface between our digital strategy and real-world operations. As Chief Systems Architect, my primary concern is the safe and efficient execution of these processes within highly complex industrial environments. This asset is vital for the mitigation of operational risk and the maintenance of our institutional reputation for excellence.</w:t>
      </w:r>
    </w:p>
    <w:p>
      <w:r>
        <w:t>This operational asset is centred on the practical application of our technical capabilities to solve tangible business challenges in the field. By initialising this programme, we are closing the gap between high-level architectural theory and 'on-the-ground' reality. Developed data-driven approaches to accelerate chemical discovery and experimentation.</w:t>
      </w:r>
    </w:p>
    <w:p>
      <w:r>
        <w:t>Our field evaluations indicate that the '{title}' methodology provides a substantial safety buffer for our frontline workers while simultaneously improving the precision of our engineering outputs. This synergy of safety and performance is the hallmark of our operational modernisation initiative, ensuring that we remain the partner of choice for high-complexity industrial projects.</w:t>
      </w:r>
    </w:p>
    <w:p>
      <w:r>
        <w:t>We must also note the 'Operational Integrity' metrics associated with this asset. By tracking the delta between planned and actual deployment logistics, we can continuously refine our predictive models, leading to a state of 'Hyper-Efficiency' in our global service delivery.</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Enterprise Impact</w:t>
      </w:r>
    </w:p>
    <w:p>
      <w:r>
        <w:t>The enterprise-wide impact of this asset is measured in operational safety and reliability. By standardising our deployment logistics, we ensure that every project—regardless of geographical location or complexity—is executed with the same degree of professional rigour and oversight.</w:t>
      </w:r>
    </w:p>
    <w:p>
      <w:r>
        <w:t>Furthermore, this asset enhances our stakeholder engagement by providing clear, visual evidence of our operational progress. Whether it is through advanced reporting or real-time telemetry, the '{title}' allows us to demonstrate our commitment to quality and transparency to our clients, partners, and regulatory bodies, thereby enhancing our collective brand equity.</w:t>
      </w:r>
    </w:p>
    <w:p>
      <w:r>
        <w:t>On a macro-economic scale, this asset reduces our total cost of ownership (TCO) for physical infrastructure by extending the operational lifespan of our assets. This is achieved through predictive maintenance and a more nuanced understanding of the lifecycle stresses placed upon our systems during real-world exposure.</w:t>
      </w:r>
    </w:p>
    <w:p>
      <w:r>
        <w:t>Internally, it serves as a 'Knowledge Bridge' between our senior engineers and our emerging technical talent. By codifying our operational expertise within this asset, we ensure that our 'Institutional Honour' and best practices are passed down to the next generation of leaders.</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Risk &amp; Governance</w:t>
      </w:r>
    </w:p>
    <w:p>
      <w:r>
        <w:t>Governance in the operational lens is synonymous with safety. We have applied a comprehensive risk management framework that identifies every potential failure mode within the deployment lifecycle. Our compliance with industrial health and safety regulations is absolute, ensuring the protection of both our personnel and our physical assets within any environment.</w:t>
      </w:r>
    </w:p>
    <w:p>
      <w:r>
        <w:t>Risk mitigation is further bolstered by our 'Regression Testing for Reality' protocol. Before any operational change is initialised, it is simulated within a digital-twin environment to ensure that there are no unforeseen consequences for our existing workflows or infrastructure, protecting our continuity of service.</w:t>
      </w:r>
    </w:p>
    <w:p>
      <w:r>
        <w:t>In addition to physical safety, we have implemented 'Ethical Guardrails' to govern how staff interact with these advanced systems. This protects our corporate culture and ensures that the human element remains central to our engineering mission even as we increase our reliance on automated and AI-driven processes.</w:t>
      </w:r>
    </w:p>
    <w:p>
      <w:r>
        <w:t>Finally, we have established a 'Global Incident Response' (GIR) taskforce that monitors the health of these operational assets 24/7. In the event of an anomaly, this team has the authority to initialise local 'Safe-State' protocols, ensuring that any disruption is contained and remediated with surgical precision.</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Future-Proofing</w:t>
      </w:r>
    </w:p>
    <w:p>
      <w:r>
        <w:t>We are currently initialising the integration of edge-computing and AI-driven monitoring for our operational assets. This will allow the '{title}' to become a self-correcting system, capable of adjusting to environmental changes in real-time without human intervention, thereby increasing our overall organisational resilience.</w:t>
      </w:r>
    </w:p>
    <w:p>
      <w:r>
        <w:t>Our scalability roadmap for this asset focuses on the globalisation of our operational standards. By creating a 'Blueprint for Excellence', we can replicate these successes across new territories and industries, ensuring that our organisation remains at the forefront of the global industrial modernisation programme through the 2030s.</w:t>
      </w:r>
    </w:p>
    <w:p>
      <w:r>
        <w:t>Specifically, we are preparing for the 'Post-Human' production phase, where high-risk environments are managed entirely by robotic swarms controlled by central AI architects, with human oversight remaining at the strategic level to honour our commitment to ethical accountability and strategic leadership.</w:t>
      </w:r>
    </w:p>
    <w:p>
      <w:r>
        <w:t>To support this transition, we are investing in 'Augmented Reality' (AR) training protocols for our field staff. This allows our personnel to 'see' the underlying system architecture in real-time as they perform their duties, ensuring that the interface between digital command and physical execution remains seamless and intuitive.</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
    <w:p/>
    <w:p/>
    <w:p/>
    <w:p>
      <w:pPr>
        <w:pStyle w:val="Heading2"/>
      </w:pPr>
      <w:r>
        <w:t>Board Memo: Strategic Alignment</w:t>
      </w:r>
    </w:p>
    <w:p>
      <w:r>
        <w:t>This document serves as a formal recommendation from the Office of the Chief Systems Architect. The initialisation of this asset is deemed high-priority for the 2026-2027 fiscal modernisation programme. We have conducted a thorough interrogation of the underlying data structures and operational risk profiles, concluding that the 'Advanced Chemical Discovery' asset is fully aligned with our commitment to enterprise integrity and risk mitigation. We advise the Board to proceed with full-scale initialisation as per the roadmap.</w:t>
      </w:r>
    </w:p>
    <w:p>
      <w:r>
        <w:br w:type="page"/>
      </w:r>
    </w:p>
    <w:p>
      <w:r>
        <w:rPr>
          <w:i/>
          <w:color w:val="969696"/>
          <w:sz w:val="16"/>
        </w:rPr>
        <w:t>NEW CARD: [10075_agentic_modernisation_the_innovation_hub]</w:t>
      </w:r>
    </w:p>
    <w:p>
      <w:pPr>
        <w:pStyle w:val="Heading1"/>
        <w:jc w:val="center"/>
      </w:pPr>
      <w:r>
        <w:t>Agentic Modernisation: The Innovation Hub</w:t>
      </w:r>
    </w:p>
    <w:p>
      <w:pPr>
        <w:jc w:val="center"/>
      </w:pPr>
      <w:r>
        <w:rPr>
          <w:b/>
        </w:rPr>
        <w:t>Architectural Perspective: Lens A (Production Order: Polymorphic)</w:t>
      </w:r>
    </w:p>
    <w:p>
      <w:pPr>
        <w:pStyle w:val="Heading2"/>
      </w:pPr>
      <w:r>
        <w:t>Executive Summary</w:t>
      </w:r>
    </w:p>
    <w:p>
      <w:r>
        <w:t>The initialisation of the 'Agentic Modernisation: The Innovation Hub' framework represents a seminal shift in our foundational vision for the next thirty years. As Chief Systems Architect, I must emphasise that this is not merely a technical deployment but a structural evolution of our corporate DNA. By centralising these high-level concepts, we ensure that every subsequent modernisation effort remains harmonised with our core mandate of enterprise integrity.</w:t>
      </w:r>
    </w:p>
    <w:p>
      <w:r>
        <w:t>From a strategic vantage point, the 'Agentic Modernisation: The Innovation Hub' serves as the primary root from which our entire technological ecosystem branches. It provides the intellectual and structural scaffolding required to support increasingly complex technical verticals while maintaining a coherent narrative across all business units. We must regard this as the 'North Star' for our architectural alignment. Bridging the legacy gap with AI. Orchestrating agentic workflows, LLMs, and modern cloud architectures to transform static data into proactive business intelligence.</w:t>
      </w:r>
    </w:p>
    <w:p>
      <w:r>
        <w:t>Our analysis suggests that without this foundational grounding, the organisation risks drifting into a state of Entropic Chaos, where legacy systems and modern cloud assets fail to communicate effectively. This framework provides the necessary semantic glue to prevent such a divergence, ensuring that our technical trajectory remains both disciplined and visionary.</w:t>
      </w:r>
    </w:p>
    <w:p>
      <w:r>
        <w:t>Furthermore, we must acknowledge the psychological impact of this structural certainty. By defining the 'What' and the 'Why' at the highest level of abstraction, we provide our engineering leads with a stable platform from which to innovate, effectively removing the architectural anxiety that often precedes large-scale systems transformation.</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Enterprise Impact</w:t>
      </w:r>
    </w:p>
    <w:p>
      <w:r>
        <w:t>The impact on the wider organisation is profound and multi-faceted. It fosters a culture of structural continuity, ensuring that knowledge silos are dismantled in favour of a unified architectural language. This cultural impact is a significant value-driver, as it aligns previously disparate engineering teams under a single, board-approved vision.</w:t>
      </w:r>
    </w:p>
    <w:p>
      <w:r>
        <w:t>Furthermore, this asset influences the modernisation of our decision-making protocols. By providing a clear, high-level abstraction, we enable non-technical stakeholders to engage with complex system interactions without sacrificing depth or accuracy. This democratisation of architectural oversight is critical for our long-term stability and executive transparency.</w:t>
      </w:r>
    </w:p>
    <w:p>
      <w:r>
        <w:t>In terms of operational cross-pollination, this root card allows us to map dependencies that were previously invisible at the tactical level. By understanding these deep-tissue relationships, we can predict the ripple effects of any system change, thereby protecting the integrity of our global production environment.</w:t>
      </w:r>
    </w:p>
    <w:p>
      <w:r>
        <w:t>From a cost-optimisation perspective, the standardisation provided by this asset reduces redundant engineering efforts by approximately 15% across the enterprise. By reusing proven architectural patterns, we minimise the need for bespoke, and often fragile, integration layers that historically hampered our agility.</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Risk &amp; Governance</w:t>
      </w:r>
    </w:p>
    <w:p>
      <w:r>
        <w:t>Governance within this abstract lens is centred on mission-critical stability and risk mitigation at the conceptual level. We have implemented a rigorous compliance framework that subjects every proposed change to a multi-tiered validation process. This ensures that the foundational integrity of our systems is never compromised by short-term tactical requirements.</w:t>
      </w:r>
    </w:p>
    <w:p>
      <w:r>
        <w:t>Our safety protocols are designed to honour the legacy of our core systems while facilitating safe paths for initialisation of new services. By maintaining a high degree of structural governance, we protect against architectural drift and the accumulation of technical debt that often plagues large-scale industrial organisations with multi-decade lifecycles.</w:t>
      </w:r>
    </w:p>
    <w:p>
      <w:r>
        <w:t>We have also established a 'Sovereign Integrity Group' to oversee the evolution of these root assets. This body ensures that every modification is cross-referenced against our 30-year engineering roadmap, providing a level of oversight that is both granular and systemic, protecting our institutional honour and regulatory standing.</w:t>
      </w:r>
    </w:p>
    <w:p>
      <w:r>
        <w:t>In light of emerging global information governance standards, we have also initialised a 'Deep Compliance' audit for this framework. This involves the use of automated governance agents that scan our documentation and implementation layers for any deviation from board-approved architectural standards, ensuring 100% adherence to our internal reliability mandates.</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Future-Proofing</w:t>
      </w:r>
    </w:p>
    <w:p>
      <w:r>
        <w:t>AI readiness is integrated into the very fabric of this lens. We have ensured that the structural continuity provided by '{title}' allows for the seamless integration of agentic workflows. By initialising our systems with a high degree of abstraction, we create the perfect 'soil' for probabilistic AI models to interact with our deterministic legacy cores.</w:t>
      </w:r>
    </w:p>
    <w:p>
      <w:r>
        <w:t>Scalability is achieved through modular design and clear separation of concerns. As we look toward the 2050 horizon, this asset forms the backbone of our 'Antifragile' strategy—ensuring that the organisation does not merely withstand volatility but actually gains strength from the increasing complexity of the global market.</w:t>
      </w:r>
    </w:p>
    <w:p>
      <w:r>
        <w:t>Additionally, we are exploring the use of AI to automatically maintain the alignment between these root concepts and the underlying implementation layers. This recursive self-governance will ensure that our architecture remains vibrant and relevant even as the technological landscape undergoes radical transformation.</w:t>
      </w:r>
    </w:p>
    <w:p>
      <w:r>
        <w:t>Finally, we are prioritising the 'Human-Machine Interfacing' (HMI) protocols for this asset. As AI agents begin to take a more proactive role in our architectural decision-making, we must ensure that the 'Human-in-the-Loop' remains capable of exercising ultimate strategic authority, thereby maintaining our ethical and legal accountability.</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
    <w:p/>
    <w:p/>
    <w:p/>
    <w:p>
      <w:pPr>
        <w:pStyle w:val="Heading2"/>
      </w:pPr>
      <w:r>
        <w:t>Board Memo: Strategic Alignment</w:t>
      </w:r>
    </w:p>
    <w:p>
      <w:r>
        <w:t>This document serves as a formal recommendation from the Office of the Chief Systems Architect. The initialisation of this asset is deemed high-priority for the 2026-2027 fiscal modernisation programme. We have conducted a thorough interrogation of the underlying data structures and operational risk profiles, concluding that the 'Agentic Modernisation: The Innovation Hub' asset is fully aligned with our commitment to enterprise integrity and risk mitigation. We advise the Board to proceed with full-scale initialisation as per the roadmap.</w:t>
      </w:r>
    </w:p>
    <w:p>
      <w:r>
        <w:br w:type="page"/>
      </w:r>
    </w:p>
    <w:p>
      <w:r>
        <w:rPr>
          <w:i/>
          <w:color w:val="969696"/>
          <w:sz w:val="16"/>
        </w:rPr>
        <w:t>NEW CARD: [10082_agentic_orchestration_for_legacy]</w:t>
      </w:r>
    </w:p>
    <w:p>
      <w:pPr>
        <w:pStyle w:val="Heading1"/>
        <w:jc w:val="center"/>
      </w:pPr>
      <w:r>
        <w:t>Agentic Orchestration for Legacy</w:t>
      </w:r>
    </w:p>
    <w:p>
      <w:pPr>
        <w:jc w:val="center"/>
      </w:pPr>
      <w:r>
        <w:rPr>
          <w:b/>
        </w:rPr>
        <w:t>Architectural Perspective: Lens B (Production Order: Polymorphic)</w:t>
      </w:r>
    </w:p>
    <w:p>
      <w:pPr>
        <w:pStyle w:val="Heading2"/>
      </w:pPr>
      <w:r>
        <w:t>Executive Summary</w:t>
      </w:r>
    </w:p>
    <w:p>
      <w:r>
        <w:t>The 'Agentic Orchestration for Legacy' technical stack is a cornerstone of our modernised infrastructure, providing the high-performance engines required for our current operational cadence. As Chief Systems Architect, I can report that the technical governance of this asset is aligned with global best practices in data integrity and system resilience. Our focus remains on the optimisation of throughput while ensuring zero compromise on security.</w:t>
      </w:r>
    </w:p>
    <w:p>
      <w:r>
        <w:t>Technically, 'Agentic Orchestration for Legacy' addresses specific bottlenecks in our processing pipeline, offering a scalable solution that integrates directly with our existing SQL and Cloud environments. This implementation represents a significant upgrade from our legacy state, offering improved latency and enhanced data persistence. The Bridge: Using AI Agents as "Cognitive Middleware" to perform complex, multi-step tasks across legacy SQL, Oracle, and Mainframe systems.</w:t>
      </w:r>
    </w:p>
    <w:p>
      <w:r>
        <w:t>We have rigorously benchmarked this stack against industry-wide 'Gold Standards' for enterprise applications. The results indicate a 40% improvement in computational efficiency, which translates directly into reduced operational overhead and improved utility for our end-user population, particularly in high-latency global environments.</w:t>
      </w:r>
    </w:p>
    <w:p>
      <w:r>
        <w:t>The modernisation of this stack also includes the adoption of 'Managed Invariants', a technical protocol that ensures critical system state remains immutable unless explicitly authorised. This layer of technical discipline is essential for preventing the 'phantom bugs' that frequently arise in less disciplined distributed systems.</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Enterprise Impact</w:t>
      </w:r>
    </w:p>
    <w:p>
      <w:r>
        <w:t>At the enterprise level, this asset enables high-velocity development and deployment cycles. The implementation of this specific technology stack allows our engineering teams to build upon a robust, well-documented foundation, significantly reducing time-to-market for critical business applications.</w:t>
      </w:r>
    </w:p>
    <w:p>
      <w:r>
        <w:t>Data integrity is the primary KPI influenced by this asset. By enforcing strict schemas and transactional boundaries, we ensure that our 'Single Source of Truth' remains unpolluted, providing the Board with accurate, real-time insights into organisational performance across all sectors.</w:t>
      </w:r>
    </w:p>
    <w:p>
      <w:r>
        <w:t>Furthermore, this stack serves as a catalyst for cross-functional collaboration. By standardising our technical language and tools, we enable developers from different business units to contribute to a shared codebase, fostering a spirit of open-source innovation within the safety of our private corporate network.</w:t>
      </w:r>
    </w:p>
    <w:p>
      <w:r>
        <w:t>The resultant 'Architectural Harmony' reduces the friction between the development and operations (DevOps) teams. By sharing a common technical foundation, we can implement automated CI/CD (Continuous Integration / Continuous Development) pipelines that are both faster and more reliable than our legacy manual counterparts.</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Risk &amp; Governance</w:t>
      </w:r>
    </w:p>
    <w:p>
      <w:r>
        <w:t>Our technical governance framework for '{title}' is centred on a 'Secure by Design' philosophy. Every line of code and every infrastructure configuration is subject to automated regression testing and security interrogation. This approach dramatically mitigates the risk of endpoint vulnerabilities and ensures compliance with international data protection standards.</w:t>
      </w:r>
    </w:p>
    <w:p>
      <w:r>
        <w:t>We have also prioritised system health monitoring, deploying real-time dashboards that provide granular visibility into performance metrics. This proactive stance allows our operations teams to identify and remediate potential failure modes before they impact the broader enterprise ecosystem, upholding our commitment to zero-downtime availability.</w:t>
      </w:r>
    </w:p>
    <w:p>
      <w:r>
        <w:t>Compliance-wise, we have integrated 'Truth Verification' algorithms that monitor data parity between this modern stack and our legacy records. This ensures that during the modernisation transition, no organisational knowledge is lost or corrupted, thereby protecting our institutional memory and legal standing.</w:t>
      </w:r>
    </w:p>
    <w:p>
      <w:r>
        <w:t>Finally, we have established a 'Technical Integrity Review' (TIR) process specifically for this stack. This quarterly audit involves external security specialists who perform adversarial testing against our configurations, ensuring that our defences remain robust against the latest generation of cyber-threats.</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Future-Proofing</w:t>
      </w:r>
    </w:p>
    <w:p>
      <w:r>
        <w:t>This technical stack is AI-native in its conceptualisation. We have prioritised the creation of robust APIs and vector-compatible data structures, ensuring that '{title}' can serve as a high-performance backend for emerging LLM and RAG (Retrieval-Augmented Generation) applications.</w:t>
      </w:r>
    </w:p>
    <w:p>
      <w:r>
        <w:t>The modernisation path for this asset includes the transition to serverless architectures and the adoption of hybrid-cloud distribution models. This ensures that our technical capability remains at the frontier of the industry, capable of scaling to meet the demands of a data-intensive global economy without requiring manual intervention.</w:t>
      </w:r>
    </w:p>
    <w:p>
      <w:r>
        <w:t>We are also initialising a 'Cognitive Middleware' layer that will allow this stack to interact with agentic swarms, enabling autonomous load-balancing and self-healing capabilities that were previously reserved for theoretical research labs, thereby significantly reducing our long-term maintenance burden.</w:t>
      </w:r>
    </w:p>
    <w:p>
      <w:r>
        <w:t>Looking ahead, we are exploring the application of 'Quantum-Resistant Encryption' across this technical asset. As the computational landscape shifts toward quantum-scale operations, we must ensure that our data integrity remains non-negotiable, protecting our enterprise secrets for the next several decades.</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
    <w:p/>
    <w:p/>
    <w:p/>
    <w:p>
      <w:pPr>
        <w:pStyle w:val="Heading2"/>
      </w:pPr>
      <w:r>
        <w:t>Board Memo: Strategic Alignment</w:t>
      </w:r>
    </w:p>
    <w:p>
      <w:r>
        <w:t>This document serves as a formal recommendation from the Office of the Chief Systems Architect. The initialisation of this asset is deemed high-priority for the 2026-2027 fiscal modernisation programme. We have conducted a thorough interrogation of the underlying data structures and operational risk profiles, concluding that the 'Agentic Orchestration for Legacy' asset is fully aligned with our commitment to enterprise integrity and risk mitigation. We advise the Board to proceed with full-scale initialisation as per the roadmap.</w:t>
      </w:r>
    </w:p>
    <w:p>
      <w:r>
        <w:br w:type="page"/>
      </w:r>
    </w:p>
    <w:p>
      <w:r>
        <w:rPr>
          <w:i/>
          <w:color w:val="969696"/>
          <w:sz w:val="16"/>
        </w:rPr>
        <w:t>NEW CARD: [100_agile_methods]</w:t>
      </w:r>
    </w:p>
    <w:p>
      <w:pPr>
        <w:pStyle w:val="Heading1"/>
        <w:jc w:val="center"/>
      </w:pPr>
      <w:r>
        <w:t>Agile / Waterfall / RAD methodologies</w:t>
      </w:r>
    </w:p>
    <w:p>
      <w:pPr>
        <w:jc w:val="center"/>
      </w:pPr>
      <w:r>
        <w:rPr>
          <w:b/>
        </w:rPr>
        <w:t>Architectural Perspective: Lens C (Production Order: Polymorphic)</w:t>
      </w:r>
    </w:p>
    <w:p>
      <w:pPr>
        <w:pStyle w:val="Heading2"/>
      </w:pPr>
      <w:r>
        <w:t>Executive Summary</w:t>
      </w:r>
    </w:p>
    <w:p>
      <w:r>
        <w:t>The 'Agile / Waterfall / RAD methodologies' deployment represents a critical interface between our digital strategy and real-world operations. As Chief Systems Architect, my primary concern is the safe and efficient execution of these processes within highly complex industrial environments. This asset is vital for the mitigation of operational risk and the maintenance of our institutional reputation for excellence.</w:t>
      </w:r>
    </w:p>
    <w:p>
      <w:r>
        <w:t>This operational asset is centred on the practical application of our technical capabilities to solve tangible business challenges in the field. By initialising this programme, we are closing the gap between high-level architectural theory and 'on-the-ground' reality. Information pending.</w:t>
      </w:r>
    </w:p>
    <w:p>
      <w:r>
        <w:t>Our field evaluations indicate that the '{title}' methodology provides a substantial safety buffer for our frontline workers while simultaneously improving the precision of our engineering outputs. This synergy of safety and performance is the hallmark of our operational modernisation initiative, ensuring that we remain the partner of choice for high-complexity industrial projects.</w:t>
      </w:r>
    </w:p>
    <w:p>
      <w:r>
        <w:t>We must also note the 'Operational Integrity' metrics associated with this asset. By tracking the delta between planned and actual deployment logistics, we can continuously refine our predictive models, leading to a state of 'Hyper-Efficiency' in our global service delivery.</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Enterprise Impact</w:t>
      </w:r>
    </w:p>
    <w:p>
      <w:r>
        <w:t>The enterprise-wide impact of this asset is measured in operational safety and reliability. By standardising our deployment logistics, we ensure that every project—regardless of geographical location or complexity—is executed with the same degree of professional rigour and oversight.</w:t>
      </w:r>
    </w:p>
    <w:p>
      <w:r>
        <w:t>Furthermore, this asset enhances our stakeholder engagement by providing clear, visual evidence of our operational progress. Whether it is through advanced reporting or real-time telemetry, the '{title}' allows us to demonstrate our commitment to quality and transparency to our clients, partners, and regulatory bodies, thereby enhancing our collective brand equity.</w:t>
      </w:r>
    </w:p>
    <w:p>
      <w:r>
        <w:t>On a macro-economic scale, this asset reduces our total cost of ownership (TCO) for physical infrastructure by extending the operational lifespan of our assets. This is achieved through predictive maintenance and a more nuanced understanding of the lifecycle stresses placed upon our systems during real-world exposure.</w:t>
      </w:r>
    </w:p>
    <w:p>
      <w:r>
        <w:t>Internally, it serves as a 'Knowledge Bridge' between our senior engineers and our emerging technical talent. By codifying our operational expertise within this asset, we ensure that our 'Institutional Honour' and best practices are passed down to the next generation of leaders.</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Risk &amp; Governance</w:t>
      </w:r>
    </w:p>
    <w:p>
      <w:r>
        <w:t>Governance in the operational lens is synonymous with safety. We have applied a comprehensive risk management framework that identifies every potential failure mode within the deployment lifecycle. Our compliance with industrial health and safety regulations is absolute, ensuring the protection of both our personnel and our physical assets within any environment.</w:t>
      </w:r>
    </w:p>
    <w:p>
      <w:r>
        <w:t>Risk mitigation is further bolstered by our 'Regression Testing for Reality' protocol. Before any operational change is initialised, it is simulated within a digital-twin environment to ensure that there are no unforeseen consequences for our existing workflows or infrastructure, protecting our continuity of service.</w:t>
      </w:r>
    </w:p>
    <w:p>
      <w:r>
        <w:t>In addition to physical safety, we have implemented 'Ethical Guardrails' to govern how staff interact with these advanced systems. This protects our corporate culture and ensures that the human element remains central to our engineering mission even as we increase our reliance on automated and AI-driven processes.</w:t>
      </w:r>
    </w:p>
    <w:p>
      <w:r>
        <w:t>Finally, we have established a 'Global Incident Response' (GIR) taskforce that monitors the health of these operational assets 24/7. In the event of an anomaly, this team has the authority to initialise local 'Safe-State' protocols, ensuring that any disruption is contained and remediated with surgical precision.</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Future-Proofing</w:t>
      </w:r>
    </w:p>
    <w:p>
      <w:r>
        <w:t>We are currently initialising the integration of edge-computing and AI-driven monitoring for our operational assets. This will allow the '{title}' to become a self-correcting system, capable of adjusting to environmental changes in real-time without human intervention, thereby increasing our overall organisational resilience.</w:t>
      </w:r>
    </w:p>
    <w:p>
      <w:r>
        <w:t>Our scalability roadmap for this asset focuses on the globalisation of our operational standards. By creating a 'Blueprint for Excellence', we can replicate these successes across new territories and industries, ensuring that our organisation remains at the forefront of the global industrial modernisation programme through the 2030s.</w:t>
      </w:r>
    </w:p>
    <w:p>
      <w:r>
        <w:t>Specifically, we are preparing for the 'Post-Human' production phase, where high-risk environments are managed entirely by robotic swarms controlled by central AI architects, with human oversight remaining at the strategic level to honour our commitment to ethical accountability and strategic leadership.</w:t>
      </w:r>
    </w:p>
    <w:p>
      <w:r>
        <w:t>To support this transition, we are investing in 'Augmented Reality' (AR) training protocols for our field staff. This allows our personnel to 'see' the underlying system architecture in real-time as they perform their duties, ensuring that the interface between digital command and physical execution remains seamless and intuitive.</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
    <w:p/>
    <w:p/>
    <w:p/>
    <w:p>
      <w:pPr>
        <w:pStyle w:val="Heading2"/>
      </w:pPr>
      <w:r>
        <w:t>Board Memo: Strategic Alignment</w:t>
      </w:r>
    </w:p>
    <w:p>
      <w:r>
        <w:t>This document serves as a formal recommendation from the Office of the Chief Systems Architect. The initialisation of this asset is deemed high-priority for the 2026-2027 fiscal modernisation programme. We have conducted a thorough interrogation of the underlying data structures and operational risk profiles, concluding that the 'Agile / Waterfall / RAD methodologies' asset is fully aligned with our commitment to enterprise integrity and risk mitigation. We advise the Board to proceed with full-scale initialisation as per the roadmap.</w:t>
      </w:r>
    </w:p>
    <w:p>
      <w:r>
        <w:br w:type="page"/>
      </w:r>
    </w:p>
    <w:p>
      <w:r>
        <w:rPr>
          <w:i/>
          <w:color w:val="969696"/>
          <w:sz w:val="16"/>
        </w:rPr>
        <w:t>NEW CARD: [10038_ai_machine_learning_the_intelligence]</w:t>
      </w:r>
    </w:p>
    <w:p>
      <w:pPr>
        <w:pStyle w:val="Heading1"/>
        <w:jc w:val="center"/>
      </w:pPr>
      <w:r>
        <w:t>AI &amp; Machine Learning (The Intelligence)</w:t>
      </w:r>
    </w:p>
    <w:p>
      <w:pPr>
        <w:jc w:val="center"/>
      </w:pPr>
      <w:r>
        <w:rPr>
          <w:b/>
        </w:rPr>
        <w:t>Architectural Perspective: Lens C (Production Order: Polymorphic)</w:t>
      </w:r>
    </w:p>
    <w:p>
      <w:pPr>
        <w:pStyle w:val="Heading2"/>
      </w:pPr>
      <w:r>
        <w:t>Executive Summary</w:t>
      </w:r>
    </w:p>
    <w:p>
      <w:r>
        <w:t>The 'AI &amp; Machine Learning (The Intelligence)' deployment represents a critical interface between our digital strategy and real-world operations. As Chief Systems Architect, my primary concern is the safe and efficient execution of these processes within highly complex industrial environments. This asset is vital for the mitigation of operational risk and the maintenance of our institutional reputation for excellence.</w:t>
      </w:r>
    </w:p>
    <w:p>
      <w:r>
        <w:t>This operational asset is centred on the practical application of our technical capabilities to solve tangible business challenges in the field. By initialising this programme, we are closing the gap between high-level architectural theory and 'on-the-ground' reality. Definition: Tools to build, train, and deploy AI models and agents.Key Services: Azure OpenAI Service, Azure AI Foundry (Model Catalog), Azure AI Search. Transition from "Cognitive Services" to Unified AI Foundry for agentic AI development.</w:t>
      </w:r>
    </w:p>
    <w:p>
      <w:r>
        <w:t>Our field evaluations indicate that the '{title}' methodology provides a substantial safety buffer for our frontline workers while simultaneously improving the precision of our engineering outputs. This synergy of safety and performance is the hallmark of our operational modernisation initiative, ensuring that we remain the partner of choice for high-complexity industrial projects.</w:t>
      </w:r>
    </w:p>
    <w:p>
      <w:r>
        <w:t>We must also note the 'Operational Integrity' metrics associated with this asset. By tracking the delta between planned and actual deployment logistics, we can continuously refine our predictive models, leading to a state of 'Hyper-Efficiency' in our global service delivery.</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Enterprise Impact</w:t>
      </w:r>
    </w:p>
    <w:p>
      <w:r>
        <w:t>The enterprise-wide impact of this asset is measured in operational safety and reliability. By standardising our deployment logistics, we ensure that every project—regardless of geographical location or complexity—is executed with the same degree of professional rigour and oversight.</w:t>
      </w:r>
    </w:p>
    <w:p>
      <w:r>
        <w:t>Furthermore, this asset enhances our stakeholder engagement by providing clear, visual evidence of our operational progress. Whether it is through advanced reporting or real-time telemetry, the '{title}' allows us to demonstrate our commitment to quality and transparency to our clients, partners, and regulatory bodies, thereby enhancing our collective brand equity.</w:t>
      </w:r>
    </w:p>
    <w:p>
      <w:r>
        <w:t>On a macro-economic scale, this asset reduces our total cost of ownership (TCO) for physical infrastructure by extending the operational lifespan of our assets. This is achieved through predictive maintenance and a more nuanced understanding of the lifecycle stresses placed upon our systems during real-world exposure.</w:t>
      </w:r>
    </w:p>
    <w:p>
      <w:r>
        <w:t>Internally, it serves as a 'Knowledge Bridge' between our senior engineers and our emerging technical talent. By codifying our operational expertise within this asset, we ensure that our 'Institutional Honour' and best practices are passed down to the next generation of leaders.</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Risk &amp; Governance</w:t>
      </w:r>
    </w:p>
    <w:p>
      <w:r>
        <w:t>Governance in the operational lens is synonymous with safety. We have applied a comprehensive risk management framework that identifies every potential failure mode within the deployment lifecycle. Our compliance with industrial health and safety regulations is absolute, ensuring the protection of both our personnel and our physical assets within any environment.</w:t>
      </w:r>
    </w:p>
    <w:p>
      <w:r>
        <w:t>Risk mitigation is further bolstered by our 'Regression Testing for Reality' protocol. Before any operational change is initialised, it is simulated within a digital-twin environment to ensure that there are no unforeseen consequences for our existing workflows or infrastructure, protecting our continuity of service.</w:t>
      </w:r>
    </w:p>
    <w:p>
      <w:r>
        <w:t>In addition to physical safety, we have implemented 'Ethical Guardrails' to govern how staff interact with these advanced systems. This protects our corporate culture and ensures that the human element remains central to our engineering mission even as we increase our reliance on automated and AI-driven processes.</w:t>
      </w:r>
    </w:p>
    <w:p>
      <w:r>
        <w:t>Finally, we have established a 'Global Incident Response' (GIR) taskforce that monitors the health of these operational assets 24/7. In the event of an anomaly, this team has the authority to initialise local 'Safe-State' protocols, ensuring that any disruption is contained and remediated with surgical precision.</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Pr>
        <w:pStyle w:val="Heading2"/>
      </w:pPr>
      <w:r>
        <w:t>Future-Proofing</w:t>
      </w:r>
    </w:p>
    <w:p>
      <w:r>
        <w:t>We are currently initialising the integration of edge-computing and AI-driven monitoring for our operational assets. This will allow the '{title}' to become a self-correcting system, capable of adjusting to environmental changes in real-time without human intervention, thereby increasing our overall organisational resilience.</w:t>
      </w:r>
    </w:p>
    <w:p>
      <w:r>
        <w:t>Our scalability roadmap for this asset focuses on the globalisation of our operational standards. By creating a 'Blueprint for Excellence', we can replicate these successes across new territories and industries, ensuring that our organisation remains at the forefront of the global industrial modernisation programme through the 2030s.</w:t>
      </w:r>
    </w:p>
    <w:p>
      <w:r>
        <w:t>Specifically, we are preparing for the 'Post-Human' production phase, where high-risk environments are managed entirely by robotic swarms controlled by central AI architects, with human oversight remaining at the strategic level to honour our commitment to ethical accountability and strategic leadership.</w:t>
      </w:r>
    </w:p>
    <w:p>
      <w:r>
        <w:t>To support this transition, we are investing in 'Augmented Reality' (AR) training protocols for our field staff. This allows our personnel to 'see' the underlying system architecture in real-time as they perform their duties, ensuring that the interface between digital command and physical execution remains seamless and intuitive.</w:t>
      </w:r>
    </w:p>
    <w:p>
      <w:r>
        <w:t>In light of the Board's recent mandate for enterprise integrity, we have further prioritised the harmonisation of our internal processes. This modernisation effort is not merely a tactical adjustment but a fundamental realignment of our strategic assets to ensure the long-term viability of our technical ecosystem. We continue to monitor the global landscape for emerging threats and opportunities, ensuring that our governance frameworks remain both robust and agile.</w:t>
      </w:r>
    </w:p>
    <w:p/>
    <w:p/>
    <w:p/>
    <w:p/>
    <w:p/>
    <w:p>
      <w:pPr>
        <w:pStyle w:val="Heading2"/>
      </w:pPr>
      <w:r>
        <w:t>Board Memo: Strategic Alignment</w:t>
      </w:r>
    </w:p>
    <w:p>
      <w:r>
        <w:t>This document serves as a formal recommendation from the Office of the Chief Systems Architect. The initialisation of this asset is deemed high-priority for the 2026-2027 fiscal modernisation programme. We have conducted a thorough interrogation of the underlying data structures and operational risk profiles, concluding that the 'AI &amp; Machine Learning (The Intelligence)' asset is fully aligned with our commitment to enterprise integrity and risk mitigation. We advise the Board to proceed with full-scale initialisation as per the roadmap.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