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Factorforge v2.0 开发规划书</w:t>
      </w:r>
    </w:p>
    <w:p>
      <w:r>
        <w:t>版本：2.0；日期：2026年10月4日。用于持续AI开发保持方向；功能看对应式样书，代码实现看对应设计书。</w:t>
      </w:r>
    </w:p>
    <w:p>
      <w:pPr>
        <w:pStyle w:val="Heading1"/>
      </w:pPr>
      <w:r>
        <w:t>阶段顺序与完成条件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cantSplit/>
          <w:tblHeader/>
        </w:trPr>
        <w:tc>
          <w:tcPr>
            <w:tcW w:type="dxa" w:w="1701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应完成的事情</w:t>
            </w:r>
          </w:p>
        </w:tc>
        <w:tc>
          <w:tcPr>
            <w:tcW w:type="dxa" w:w="3402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170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P1 交易系统层</w:t>
            </w:r>
          </w:p>
        </w:tc>
        <w:tc>
          <w:tcPr>
            <w:tcW w:type="dxa" w:w="4535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建立独立交易包、接口与配置；完成行情、模拟执行、实盘适配方向、保护、账户风险、幂等及恢复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上层未安装时T1适用验收通过；实盘未验证能力明确未就绪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P2 策略化框架层</w:t>
            </w:r>
          </w:p>
        </w:tc>
        <w:tc>
          <w:tcPr>
            <w:tcW w:type="dxa" w:w="4535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创建对象/事件/评分；完成情绪、兑现、仓位、止损计算、案例、归因、反事实及固定步长学习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不安装应用层，以手工/夹具完成T2闭环，底层拒绝不能被绕过</w:t>
            </w:r>
          </w:p>
        </w:tc>
      </w:tr>
      <w:tr>
        <w:trPr>
          <w:cantSplit/>
        </w:trPr>
        <w:tc>
          <w:tcPr>
            <w:tcW w:type="dxa" w:w="170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P3 SOXLUSDT/JEV实例</w:t>
            </w:r>
          </w:p>
        </w:tc>
        <w:tc>
          <w:tcPr>
            <w:tcW w:type="dxa" w:w="4535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完成监控、搜索、证据抽取、路由、JEV映射、框架提交及实例配置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T3离线/联调通过；真实供应商、来源许可和未决配置有独立验证记录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P4 理论与实时验证</w:t>
            </w:r>
          </w:p>
        </w:tc>
        <w:tc>
          <w:tcPr>
            <w:tcW w:type="dxa" w:w="4535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标定最少参数，完成无泄漏研究、前瞻影子、模拟及故障恢复；取得日亏损与双次数默认值证据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核心假设、样本外/前瞻证据及适用安全验收满足R0～R2准入；不足就停止升级</w:t>
            </w:r>
          </w:p>
        </w:tc>
      </w:tr>
      <w:tr>
        <w:trPr>
          <w:cantSplit/>
        </w:trPr>
        <w:tc>
          <w:tcPr>
            <w:tcW w:type="dxa" w:w="170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P5 有限实盘与交付</w:t>
            </w:r>
          </w:p>
        </w:tc>
        <w:tc>
          <w:tcPr>
            <w:tcW w:type="dxa" w:w="4535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关闭目标账户、DEC-06、预算和人工预案等阻塞；在另行授权下进行400 USDT上限实盘，完成运维及脱敏成果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R3适用证据齐全；代码/文档/验收可追踪；公开发布及扩额各有授权</w:t>
            </w:r>
          </w:p>
        </w:tc>
      </w:tr>
    </w:tbl>
    <w:p>
      <w:pPr>
        <w:spacing w:after="40"/>
      </w:pPr>
    </w:p>
    <w:p>
      <w:pPr>
        <w:pStyle w:val="Heading1"/>
      </w:pPr>
      <w:r>
        <w:t>每次继续开发</w:t>
      </w:r>
    </w:p>
    <w:p>
      <w:r>
        <w:t>只记录当前阶段、已完成需求及其证据、未完成需求、阻塞项和下一件工作。先完成下层再启用上层；阶段内可做不依赖阻塞项的工作。完成代码不等于业务验证通过，不因盈利自动升级。</w:t>
      </w:r>
    </w:p>
    <w:p>
      <w:r>
        <w:t>本次已完成版本归档及v2.0文档基线，代码开发从P1开始。此规划不拆成大量工作包，不重新定义需求或填写待标定常数。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6"/>
      </w:rPr>
      <w:t xml:space="preserve">Factorforge v2.0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b w:val="0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D293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开发规划书</dc:title>
  <dc:subject/>
  <dc:creator>Factorforge</dc:creator>
  <cp:keywords/>
  <dc:description>generated by python-docx</dc:description>
  <cp:lastModifiedBy>Factorforge</cp:lastModifiedBy>
  <cp:revision>1</cp:revision>
  <dcterms:created xsi:type="dcterms:W3CDTF">2026-10-04T00:00:00Z</dcterms:created>
  <dcterms:modified xsi:type="dcterms:W3CDTF">2026-10-04T00:00:00Z</dcterms:modified>
  <cp:category/>
</cp:coreProperties>
</file>