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交易系统层式样书</w:t>
      </w:r>
    </w:p>
    <w:p>
      <w:r>
        <w:t>版本：2.0；日期：2026年10月4日。对应设计书：01_交易系统层设计书。需求编号 S1；验收编号 T1。</w:t>
      </w:r>
    </w:p>
    <w:p>
      <w:pPr>
        <w:pStyle w:val="Heading1"/>
      </w:pPr>
      <w:r>
        <w:t>1 功能边界</w:t>
      </w:r>
    </w:p>
    <w:p>
      <w:r>
        <w:t>本层提供与具体策略无关的交易服务，支持模拟盘与实盘。使用者指定交易对象、订单或希望达到的持仓及保护条件，本层负责检查交易能力、控制账户风险、执行、记录事实并恢复一致状态。订单由外部给定时，本层也应能独立工作。</w:t>
      </w:r>
    </w:p>
    <w:p>
      <w:r>
        <w:t>本层不负责发现市场事件、评价情绪、选择模型或学习策略参数。止损位置可以由用户直接指定或由上层计算，本层负责执行和维护保护；不会根据情绪决定应否交易。</w:t>
      </w:r>
    </w:p>
    <w:p>
      <w:pPr>
        <w:pStyle w:val="Heading1"/>
      </w:pPr>
      <w:r>
        <w:t>2 功能要求</w:t>
      </w:r>
    </w:p>
    <w:p>
      <w:pPr>
        <w:pStyle w:val="Heading2"/>
      </w:pPr>
      <w:r>
        <w:t>S1-001 独立运行与通用能力</w:t>
      </w:r>
    </w:p>
    <w:p>
      <w:r>
        <w:t>只启动本层时，用户能够创建模拟运行、读取行情、提交订单、设置止损、撤单、查询订单及账户并重启恢复。接入新交易对象或渠道时应使用相同业务能力；某项交易能力不支持时明确返回原因，不假装支持。通用标识区分渠道、产品和交易对象，避免同名代码混淆。</w:t>
      </w:r>
    </w:p>
    <w:p>
      <w:pPr>
        <w:pStyle w:val="Heading2"/>
      </w:pPr>
      <w:r>
        <w:t>S1-002 模拟盘与实盘隔离</w:t>
      </w:r>
    </w:p>
    <w:p>
      <w:r>
        <w:t>模拟盘与实盘的账户、资金、订单、仓位、保护和审计必须隔离。模拟操作不能到达实盘执行路径。开启真实交易需要显式绑定账户、有效规则及授权；未准备好时仍可运行离线模拟。</w:t>
      </w:r>
    </w:p>
    <w:p>
      <w:pPr>
        <w:pStyle w:val="Heading2"/>
      </w:pPr>
      <w:r>
        <w:t>S1-003 行情与K线</w:t>
      </w:r>
    </w:p>
    <w:p>
      <w:r>
        <w:t>能够获取历史和实时K线、成交及买卖报价，并按需要获取指数、标记、参考资产和汇率价格。每份数据可查来源、时间、用途和是否已完成；不能将未完成K线当作已完成历史。断流、过期、缺口和价格不一致应清楚显示，并限制受影响的新风险。</w:t>
      </w:r>
    </w:p>
    <w:p>
      <w:pPr>
        <w:pStyle w:val="Heading2"/>
      </w:pPr>
      <w:r>
        <w:t>S1-004 交易规则与经济核算</w:t>
      </w:r>
    </w:p>
    <w:p>
      <w:r>
        <w:t>按生效规则处理价格步长、数量步长、最小订单、合约单位、交易时段、卖空能力、保证金和费用。金额、数量、价格及币种不混用；按真实产品计算双向损益。产品规则缺失或不明时禁止增险。规则变化和公司行动不得静默改变历史账务。</w:t>
      </w:r>
    </w:p>
    <w:p>
      <w:pPr>
        <w:pStyle w:val="Heading2"/>
      </w:pPr>
      <w:r>
        <w:t>S1-005 挂单、成交与撤单</w:t>
      </w:r>
    </w:p>
    <w:p>
      <w:r>
        <w:t>支持能力范围内的限价单、市价单、撤单和订单查询。状态必须区分待处理、已受理、部分成交、全部成交、撤销、拒绝和结果未知；提交成功不能被展示为已成交。撤单请求发出后，未确认前仍考虑该单可能成交。修改或替换订单也遵守此规则。</w:t>
      </w:r>
    </w:p>
    <w:p>
      <w:pPr>
        <w:pStyle w:val="Heading2"/>
      </w:pPr>
      <w:r>
        <w:t>S1-006 持仓调整与归属</w:t>
      </w:r>
    </w:p>
    <w:p>
      <w:r>
        <w:t>可以接收带归属标识的目标持仓，由本层计算仍需交易的差额，也可以提交具体订单。两种入口经过相同账户检查。实际持仓、目标持仓和未完成订单分别显示。多个使用者共享账户时，不能各自重复使用同一资金或把净额相抵当成没有风险；外部改仓不得被自动补回。</w:t>
      </w:r>
    </w:p>
    <w:p>
      <w:pPr>
        <w:pStyle w:val="Heading2"/>
      </w:pPr>
      <w:r>
        <w:t>S1-007 独立止损保护</w:t>
      </w:r>
    </w:p>
    <w:p>
      <w:r>
        <w:t>能为真实已成交持仓建立、查询、更新和撤销保护，普通订单和条件保护分别管理。保护必须覆盖实际数量及残仓；保护建立失败、触发却未完全退出或保护状态不明时禁止继续增险并告警。已有保护不能因替换失败而出现无记录的空档。止损不保证按触发价成交。</w:t>
      </w:r>
    </w:p>
    <w:p>
      <w:pPr>
        <w:pStyle w:val="Heading2"/>
      </w:pPr>
      <w:r>
        <w:t>S1-008 最终风险检查</w:t>
      </w:r>
    </w:p>
    <w:p>
      <w:r>
        <w:t>名义敞口、保证金、单笔风险、账户损失及允许的组合约束优先于任何交易请求。检查包括实际仓位和最不利可能成交订单。超限拒绝增险；保护维护和可验证的减险继续可用。缺少可靠价格、净值、规则或退出风险估计时，不允许新增风险。被动超限须禁止继续增险并按已登记政策处理。</w:t>
      </w:r>
    </w:p>
    <w:p>
      <w:pPr>
        <w:pStyle w:val="Heading2"/>
      </w:pPr>
      <w:r>
        <w:t>S1-009 观察与执行两种账户保护模式</w:t>
      </w:r>
    </w:p>
    <w:p>
      <w:r>
        <w:t>账户级日亏损、回撤和连续亏损可以分别设置为只观察或实际执行。只观察时仍计算和记录触发情况，不暂停主试验，也不通过风险预算间接将其目标归零；订单真实性、保证金、名义上限和单笔保护继续生效。实盘须启用已批准账户保护。阈值及触限后现有仓位处置由使用者配置，缺失时不允许相应实盘准入。</w:t>
      </w:r>
    </w:p>
    <w:p>
      <w:pPr>
        <w:pStyle w:val="Heading2"/>
      </w:pPr>
      <w:r>
        <w:t>S1-010 资金、费用和风险日</w:t>
      </w:r>
    </w:p>
    <w:p>
      <w:r>
        <w:t>分别记录成交损益、浮动损益、手续费、常规和特殊资金费及外部资金流。日损益从固定风险日开始净值计算，不能因转账、平仓或重启重置亏损额度。未知损失不能填零。模拟资金不足时按仿真规则拒单或清算，不能自动补造资金。</w:t>
      </w:r>
    </w:p>
    <w:p>
      <w:pPr>
        <w:pStyle w:val="Heading2"/>
      </w:pPr>
      <w:r>
        <w:t>S1-011 重复请求与结果未知</w:t>
      </w:r>
    </w:p>
    <w:p>
      <w:r>
        <w:t>同一业务请求重试不能重复增险。超时或连接中断后的订单先核实实际状态，未核清前不能盲目再发。重复和乱序成交回报不能重复记账；不能只靠本地请求状态认定交易所事实。</w:t>
      </w:r>
    </w:p>
    <w:p>
      <w:pPr>
        <w:pStyle w:val="Heading2"/>
      </w:pPr>
      <w:r>
        <w:t>S1-012 对账、重启与外部变更</w:t>
      </w:r>
    </w:p>
    <w:p>
      <w:r>
        <w:t>重启后先恢复实际订单、成交、仓位、保护、资金及风险锁，再允许新交易。人工改仓、强平、自动减仓和特殊结算作为外部事实记录，并通知使用者重新核验目标；不因目标尚未改变就自动恢复旧风险。</w:t>
      </w:r>
    </w:p>
    <w:p>
      <w:pPr>
        <w:pStyle w:val="Heading2"/>
      </w:pPr>
      <w:r>
        <w:t>S1-013 异常与紧急处置</w:t>
      </w:r>
    </w:p>
    <w:p>
      <w:r>
        <w:t>提供紧急停止、停止增险、撤销增险单及按已登记政策减险的能力。用户紧急停止不能自动解除。本层不可用而有实盘残仓时，使用事前准备的官方交易渠道人工预案；恢复后导入人工事实并对账，不能直接继续增险。单机失效时不能承诺本地保护仍在线。</w:t>
      </w:r>
    </w:p>
    <w:p>
      <w:pPr>
        <w:pStyle w:val="Heading2"/>
      </w:pPr>
      <w:r>
        <w:t>S1-014 可重放模拟</w:t>
      </w:r>
    </w:p>
    <w:p>
      <w:r>
        <w:t>模拟与实盘使用相同订单、风险和状态语义，模拟成交遵守可用时间、费用、延迟、流动性和资金规则。只有K线时，对同根内顺序不明的触发采用保守路径或报告区间。模型与模拟成交规则有版本，不能把理想成交当真实执行证据。</w:t>
      </w:r>
    </w:p>
    <w:p>
      <w:pPr>
        <w:pStyle w:val="Heading2"/>
      </w:pPr>
      <w:r>
        <w:t>S1-015 权限、记录与运行质量</w:t>
      </w:r>
    </w:p>
    <w:p>
      <w:r>
        <w:t>每次请求、拒绝、成交、风险动作和恢复均可追踪到使用者、环境、配置和原因；更正只追加记录。交易凭据只有执行组件可使用，观察和策略使用者不能读取它。公开调用权限不能替代内部信号权限。日志、磁盘、时钟或审计异常影响可靠性时禁止增险；时效、容量、恢复和保留要求按登记配置验收。</w:t>
      </w:r>
    </w:p>
    <w:p>
      <w:pPr>
        <w:pStyle w:val="Heading1"/>
      </w:pPr>
      <w:r>
        <w:t>3 验收效果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5046"/>
      </w:tblGrid>
      <w:tr>
        <w:trPr>
          <w:cantSplit/>
          <w:tblHeader/>
        </w:trPr>
        <w:tc>
          <w:tcPr>
            <w:tcW w:type="dxa" w:w="1191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046"/>
            <w:shd w:fill="233E58"/>
          </w:tcPr>
          <w:p>
            <w:pPr>
              <w:keepNext/>
              <w:spacing w:after="60" w:before="60" w:line="254" w:lineRule="auto"/>
            </w:pPr>
            <w:r>
              <w:rPr>
                <w:b/>
                <w:color w:val="FFFFFF"/>
                <w:sz w:val="18"/>
              </w:rPr>
              <w:t>应达到的效果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T1-01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上两层均未安装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完成行情、模拟挂撤单、止损及重启对账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T1-02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交叉使用模拟/实盘账户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请求被拒绝，实盘没有模拟订单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T1-03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过期价格、未完成K线或规则变化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正确标记数据状态，受影响增险被拒绝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T1-04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重试、超时、部分成交及撤单竞态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无重复订单或记账，未核实风险仍计入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T1-05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成交后保护失败或有残仓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持仓事实可见，禁止增险，持续保护/减险告警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T1-06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多使用者同时占用预算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合并风险不突破限额，外部改仓不被补回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T1-07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同亏损路径切换保护模式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观察模式继续主试验；执行模式锁定并按政策处置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T1-08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转账、特殊资金费、重启跨风险日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账务分项一致，锁定与日亏损不被重置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T1-09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断网、执行崩溃、数据库或主机失效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无盲目重发；外部保护和人工预案可核验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T1-10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人工改仓、强平或恢复导入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去重对账，保留恢复核验，授权后才恢复增险</w:t>
            </w:r>
          </w:p>
        </w:tc>
      </w:tr>
      <w:tr>
        <w:trPr>
          <w:cantSplit/>
        </w:trPr>
        <w:tc>
          <w:tcPr>
            <w:tcW w:type="dxa" w:w="1191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T1-11</w:t>
            </w:r>
          </w:p>
        </w:tc>
        <w:tc>
          <w:tcPr>
            <w:tcW w:type="dxa" w:w="3402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同根K线同时满足多种触发</w:t>
            </w:r>
          </w:p>
        </w:tc>
        <w:tc>
          <w:tcPr>
            <w:tcW w:type="dxa" w:w="5046"/>
            <w:shd w:fill="F0F4F8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使用登记的保守成交假设或区间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T1-12</w:t>
            </w:r>
          </w:p>
        </w:tc>
        <w:tc>
          <w:tcPr>
            <w:tcW w:type="dxa" w:w="3402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越权、审计失败及未就绪实盘设置</w:t>
            </w:r>
          </w:p>
        </w:tc>
        <w:tc>
          <w:tcPr>
            <w:tcW w:type="dxa" w:w="5046"/>
            <w:shd w:fill="FFFFFF"/>
          </w:tcPr>
          <w:p>
            <w:pPr>
              <w:keepNext w:val="0"/>
              <w:spacing w:after="60" w:before="60" w:line="254" w:lineRule="auto"/>
            </w:pPr>
            <w:r>
              <w:rPr>
                <w:sz w:val="18"/>
              </w:rPr>
              <w:t>拒绝并留痕，不能由普通权限绕过保护</w:t>
            </w:r>
          </w:p>
        </w:tc>
      </w:tr>
    </w:tbl>
    <w:p>
      <w:pPr>
        <w:spacing w:after="40"/>
      </w:pPr>
    </w:p>
    <w:p>
      <w:pPr>
        <w:pStyle w:val="Heading1"/>
      </w:pPr>
      <w:r>
        <w:t>4 配置与待确认事项</w:t>
      </w:r>
    </w:p>
    <w:p>
      <w:r>
        <w:t>本层不设置任何特定实例的名义上限或具体风险阈值。交易产品及账户能力、报价与保护口径、账户触限政策、风险日、恢复预案、运行预算均须在使用前登记。只需要某项离线模拟功能时，不要求先完成无关的实盘能力验证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6"/>
      </w:rPr>
      <w:t xml:space="preserve">Factorforge v2.0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b w:val="0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9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D293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01_交易系统层式样书</dc:title>
  <dc:subject/>
  <dc:creator>Factorforge</dc:creator>
  <cp:keywords/>
  <dc:description>generated by python-docx</dc:description>
  <cp:lastModifiedBy>Factorforge</cp:lastModifiedBy>
  <cp:revision>1</cp:revision>
  <dcterms:created xsi:type="dcterms:W3CDTF">2026-10-04T00:00:00Z</dcterms:created>
  <dcterms:modified xsi:type="dcterms:W3CDTF">2026-10-04T00:00:00Z</dcterms:modified>
  <cp:category/>
</cp:coreProperties>
</file>