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SOXLUSDT / JEV 应用实例式样书</w:t>
      </w:r>
    </w:p>
    <w:p>
      <w:r>
        <w:t>版本：2.0；日期：2026年10月4日。对应设计书：03_SOXLUSDT_JEV应用实例设计书。需求编号 S3；验收编号 T3。</w:t>
      </w:r>
    </w:p>
    <w:p>
      <w:pPr>
        <w:pStyle w:val="Heading1"/>
      </w:pPr>
      <w:r>
        <w:t>1 功能边界</w:t>
      </w:r>
    </w:p>
    <w:p>
      <w:r>
        <w:t>v2.0 只交付一个应用实例：观测并交易 SOXLUSDT，以 JEV 为主要事件判断模型。应用利用监控、联网搜索及已授权数据源捕捉事件，创建框架观测对象和事件，并为新事件或已有事件提交评分。情绪计算、应持仓位、反馈学习由框架完成，实际订单、止损执行与账户保护由交易层完成。</w:t>
      </w:r>
    </w:p>
    <w:p>
      <w:r>
        <w:t>本应用依赖下两层。它可以读取下层能力，但不能直写下层业务状态或使用交易所签名凭据绕过下层。以后新增对象或模型以新实例配置/适配组件实现，不要求修改通用量化或执行核心。</w:t>
      </w:r>
    </w:p>
    <w:p>
      <w:pPr>
        <w:pStyle w:val="Heading1"/>
      </w:pPr>
      <w:r>
        <w:t>2 功能要求</w:t>
      </w:r>
    </w:p>
    <w:p>
      <w:pPr>
        <w:pStyle w:val="Heading2"/>
      </w:pPr>
      <w:r>
        <w:t>S3-001 实例与对象配置</w:t>
      </w:r>
    </w:p>
    <w:p>
      <w:r>
        <w:t>创建独立的 SOXLUSDT 模拟或实盘实例，绑定交易渠道、准确产品身份及框架观测对象。沿用首期币安目标产品的意图，但实际上线前验证目标账户能否使用该产品及双向交易。不能把名称相同的 ETF、合约或其他产品混为一个交易对象。</w:t>
      </w:r>
    </w:p>
    <w:p>
      <w:pPr>
        <w:pStyle w:val="Heading2"/>
      </w:pPr>
      <w:r>
        <w:t>S3-002 全天监控与信息获取</w:t>
      </w:r>
    </w:p>
    <w:p>
      <w:r>
        <w:t>服务按配置时基7×24小时运行，覆盖常规、盘前盘后、隔夜、周末和节假日。持续关注半导体行业、组成及相关公司、宏观与政策、监管、突发和市场异常等已启用主题。监控订阅和联网搜索分别有可查的任务、更新时间、失败及积压，不等于要求全天都有交易。</w:t>
      </w:r>
    </w:p>
    <w:p>
      <w:pPr>
        <w:pStyle w:val="Heading2"/>
      </w:pPr>
      <w:r>
        <w:t>S3-003 搜索补全与证据</w:t>
      </w:r>
    </w:p>
    <w:p>
      <w:r>
        <w:t>对初步消息可联网寻找原始公告、可信报道、事前预期、修订或反向证据。每条事实可追踪到来源、引用位置、发布时间、系统接收时间及许可；搜索摘要不能直接代替原始事实。核验不足的内容保留在研究或隔离区，不能生成可交易评分。</w:t>
      </w:r>
    </w:p>
    <w:p>
      <w:pPr>
        <w:pStyle w:val="Heading2"/>
      </w:pPr>
      <w:r>
        <w:t>S3-004 事件识别与框架创建</w:t>
      </w:r>
    </w:p>
    <w:p>
      <w:r>
        <w:t>将新闻整理为有版本的经济事实，识别主体、事项、时间和已有事件关系，通过框架接口创建新事件或关联现有事件。转载只补充证据；官方确认、金额修订和撤销显式表达关系。应用可提出归并建议，最终去重和情绪差额由框架校验。</w:t>
      </w:r>
    </w:p>
    <w:p>
      <w:pPr>
        <w:pStyle w:val="Heading2"/>
      </w:pPr>
      <w:r>
        <w:t>S3-005 JEV 主要判断</w:t>
      </w:r>
    </w:p>
    <w:p>
      <w:r>
        <w:t>JEV 主要判断事件类型、与 SOXLUSDT 的相关程度、方向、影响程度、预期覆盖及影响期限等有限问题。评分量表按证据标定；低置信、缺项、矛盾和无法判断时允许弃权。应用不能把 JEV 输出当作已验证事实或已校准系统置信度。</w:t>
      </w:r>
    </w:p>
    <w:p>
      <w:pPr>
        <w:pStyle w:val="Heading2"/>
      </w:pPr>
      <w:r>
        <w:t>S3-006 事实抽取与模型职责</w:t>
      </w:r>
    </w:p>
    <w:p>
      <w:r>
        <w:t>联网、原文归档、事实抽取、数字和日期核验由独立组件完成，JEV 不被假定能联网或撰写完整事实解释。辅助抽取器或人工标注可用于事实核验和评测，其生产选择待确认；不因此把策略运算、风险批准和发单交给模型。文字解释必须来自保存的事实及确定性理由。</w:t>
      </w:r>
    </w:p>
    <w:p>
      <w:pPr>
        <w:pStyle w:val="Heading2"/>
      </w:pPr>
      <w:r>
        <w:t>S3-007 向框架提交矢量评分</w:t>
      </w:r>
    </w:p>
    <w:p>
      <w:r>
        <w:t>针对观测对象提交方向和影响程度，以及框架所需质量、相关性、信息增量、预期、期限、事实引用及模型版本。可以对刚创建的事件评分，也可以对已有事件首次评分或提交修订。重复提交不能重复注入；晚到评分按真实完成时间生效，不回填过去的交易。</w:t>
      </w:r>
    </w:p>
    <w:p>
      <w:pPr>
        <w:pStyle w:val="Heading2"/>
      </w:pPr>
      <w:r>
        <w:t>S3-008 交易资格及资源隔离</w:t>
      </w:r>
    </w:p>
    <w:p>
      <w:r>
        <w:t>只有已登记来源、许可、对象映射、事件类型、新鲜度和证据质量满足政策的分析任务才能进入交易评分流程。公共研究请求只能研究；应用不能自行写“可实盘”标签授予资格。研究与交易任务分别持久化、领取和限额，模拟负载不能耗尽实盘保留预算；上游共享限流的实际隔离必须验证。</w:t>
      </w:r>
    </w:p>
    <w:p>
      <w:pPr>
        <w:pStyle w:val="Heading2"/>
      </w:pPr>
      <w:r>
        <w:t>S3-009 故障与降级</w:t>
      </w:r>
    </w:p>
    <w:p>
      <w:r>
        <w:t>搜索、新闻源或 JEV 中断时停止不可靠的新评分并告警，不伪造事件，不反复询问直到得到有利方向。框架旧贡献继续衰减，交易层保护继续处理。恢复后的旧消息遵守时效和真实可用时间，过期任务不强制进入交易。</w:t>
      </w:r>
    </w:p>
    <w:p>
      <w:pPr>
        <w:pStyle w:val="Heading2"/>
      </w:pPr>
      <w:r>
        <w:t>S3-010 产品、价格与特殊变化</w:t>
      </w:r>
    </w:p>
    <w:p>
      <w:r>
        <w:t>分别使用合约可成交、标记、指数、参考 SOXL ETF 及汇率价格，给框架登记兑现与状态代理；休市或陈旧参考价格不当作独立信息。保留分红、拆并股、特殊资金费、只减仓、强平和自动减仓的核验与记录。ETF 每日三倍目标不得再次乘入合约损益；上市前 ETF 价格不冒充合约成交历史。</w:t>
      </w:r>
    </w:p>
    <w:p>
      <w:pPr>
        <w:pStyle w:val="Heading2"/>
      </w:pPr>
      <w:r>
        <w:t>S3-011 全天决策及非传统时段</w:t>
      </w:r>
    </w:p>
    <w:p>
      <w:r>
        <w:t>配置框架定时判断，不因美股收盘自动平仓。按有效日历区分常规和非传统时段；后者同时限制新增风险次数与净亏损案例次数，达到任一即禁增险，止损和减仓继续。周末节假日不按自然日重新发放机会，窗口及两项阈值经测试确定，支持夏令时及提前收市。</w:t>
      </w:r>
    </w:p>
    <w:p>
      <w:pPr>
        <w:pStyle w:val="Heading2"/>
      </w:pPr>
      <w:r>
        <w:t>S3-012 阶段额度及账户保护</w:t>
      </w:r>
    </w:p>
    <w:p>
      <w:r>
        <w:t>非实盘主试验名义绝对持仓上限为4000 USDT，实盘测试为400 USDT，包括最不利可能成交增险量，不与本金或保证金混淆。模拟本金另行登记。非实盘账户级日亏损、回撤和连续亏损只观察；单笔止损、额度、时段规则及数据/执行保护继续。实盘账户级保护启用，不能靠学习或盈利自动扩额。</w:t>
      </w:r>
    </w:p>
    <w:p>
      <w:pPr>
        <w:pStyle w:val="Heading2"/>
      </w:pPr>
      <w:r>
        <w:t>S3-013 风险默认值与未决政策</w:t>
      </w:r>
    </w:p>
    <w:p>
      <w:r>
        <w:t>日亏损默认值从损失路径、成本、误停和尾部风险试验得出，不填任意生产常数。400 USDT 场景重新验证费用与最小订单，不能直接将4000场景阈值除以十。触限后已有仓位如何处理仍保留 DEC-06 待确认；默认值及处置/恢复政策未就绪时不通过实盘准入。</w:t>
      </w:r>
    </w:p>
    <w:p>
      <w:pPr>
        <w:pStyle w:val="Heading2"/>
      </w:pPr>
      <w:r>
        <w:t>S3-014 自动反馈与展示</w:t>
      </w:r>
    </w:p>
    <w:p>
      <w:r>
        <w:t>应用读取框架的情绪组成、目标与实际仓位、交易理由、观察归因、参数发布及回滚记录。白名单参数门控后自动生效，不等用户逐笔批准；额度、权限、阶段、代码、真实 Prompt 和模型更换不进入普通学习。周期报告展示合理性与未知，不阻塞合格发布。</w:t>
      </w:r>
    </w:p>
    <w:p>
      <w:pPr>
        <w:pStyle w:val="Heading2"/>
      </w:pPr>
      <w:r>
        <w:t>S3-015 可复现评测与准入</w:t>
      </w:r>
    </w:p>
    <w:p>
      <w:r>
        <w:t>分别验证捕获覆盖、事实抽取完整性、去重、评分质量、校准、弃权、成本、延迟及版本漂移。完成框架规定的核心假设、样本外和前瞻对照；供应商历史知识污染无法排除时不能仅凭历史回测准入。按研究、影子、模拟、有限实盘再扩展的顺序保留证据，不因单次盈利升级。</w:t>
      </w:r>
    </w:p>
    <w:p>
      <w:pPr>
        <w:pStyle w:val="Heading2"/>
      </w:pPr>
      <w:r>
        <w:t>S3-016 本地部署与私有资产</w:t>
      </w:r>
    </w:p>
    <w:p>
      <w:r>
        <w:t>运行在用户局域网本地服务器，不预设云服务器采购。真实 Prompt、其拼接片段、凭据、账户资料、原始受限数据和模型缓存保存在私有位置，公开示例可离线运行。JEV 托管调用涉及发送筛选后的状态，数据许可、保留及隐私边界须核实，不能从本地部署推断数据永不外发。</w:t>
      </w:r>
    </w:p>
    <w:p>
      <w:pPr>
        <w:pStyle w:val="Heading2"/>
      </w:pPr>
      <w:r>
        <w:t>S3-017 运维与发布边界</w:t>
      </w:r>
    </w:p>
    <w:p>
      <w:r>
        <w:t>实例启停、健康、积压和降级可查，重启与下两层核验后才恢复增险。本地中断有告警及官方交易渠道人工处置预案；用户与AI构成项目，复核职责不假定已有第二名人员，独立复核安排须在实盘前解决。公开发布仅从脱敏快照进行，扫描历史、附件、Prompt 及元数据；本次文档重构不执行上传或实际交易。</w:t>
      </w:r>
    </w:p>
    <w:p>
      <w:pPr>
        <w:pStyle w:val="Heading1"/>
      </w:pPr>
      <w:r>
        <w:t>3 验收效果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5046"/>
      </w:tblGrid>
      <w:tr>
        <w:trPr>
          <w:cantSplit/>
          <w:tblHeader/>
        </w:trPr>
        <w:tc>
          <w:tcPr>
            <w:tcW w:type="dxa" w:w="1191"/>
            <w:shd w:fill="233E58"/>
          </w:tcPr>
          <w:p>
            <w:pPr>
              <w:keepNext/>
              <w:spacing w:after="60" w:before="60" w:line="254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shd w:fill="233E58"/>
          </w:tcPr>
          <w:p>
            <w:pPr>
              <w:keepNext/>
              <w:spacing w:after="60" w:before="60" w:line="254" w:lineRule="auto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5046"/>
            <w:shd w:fill="233E58"/>
          </w:tcPr>
          <w:p>
            <w:pPr>
              <w:keepNext/>
              <w:spacing w:after="60" w:before="60" w:line="254" w:lineRule="auto"/>
            </w:pPr>
            <w:r>
              <w:rPr>
                <w:b/>
                <w:color w:val="FFFFFF"/>
                <w:sz w:val="18"/>
              </w:rPr>
              <w:t>应达到的效果</w:t>
            </w:r>
          </w:p>
        </w:tc>
      </w:tr>
      <w:tr>
        <w:trPr>
          <w:cantSplit/>
        </w:trPr>
        <w:tc>
          <w:tcPr>
            <w:tcW w:type="dxa" w:w="119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T3-01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从空实例配置启动</w:t>
            </w:r>
          </w:p>
        </w:tc>
        <w:tc>
          <w:tcPr>
            <w:tcW w:type="dxa" w:w="5046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验证产品，创建框架对象并保持环境绑定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T3-02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监控线索及联网补证</w:t>
            </w:r>
          </w:p>
        </w:tc>
        <w:tc>
          <w:tcPr>
            <w:tcW w:type="dxa" w:w="5046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保留原文来源、跨度、许可和各可用时间</w:t>
            </w:r>
          </w:p>
        </w:tc>
      </w:tr>
      <w:tr>
        <w:trPr>
          <w:cantSplit/>
        </w:trPr>
        <w:tc>
          <w:tcPr>
            <w:tcW w:type="dxa" w:w="119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T3-03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转载、修订、已有事件及重复提交</w:t>
            </w:r>
          </w:p>
        </w:tc>
        <w:tc>
          <w:tcPr>
            <w:tcW w:type="dxa" w:w="5046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正确调用创建/关联/评分，情绪不重复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T3-04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JEV 未知、低质量或跨项矛盾</w:t>
            </w:r>
          </w:p>
        </w:tc>
        <w:tc>
          <w:tcPr>
            <w:tcW w:type="dxa" w:w="5046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弃权或隔离，完整评分才进入框架</w:t>
            </w:r>
          </w:p>
        </w:tc>
      </w:tr>
      <w:tr>
        <w:trPr>
          <w:cantSplit/>
        </w:trPr>
        <w:tc>
          <w:tcPr>
            <w:tcW w:type="dxa" w:w="119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T3-05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公共研究洪泛与实盘分析同时运行</w:t>
            </w:r>
          </w:p>
        </w:tc>
        <w:tc>
          <w:tcPr>
            <w:tcW w:type="dxa" w:w="5046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独立队列及预算有效，不能伪造信号资格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T3-06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搜索、抽取或JEV不可用及恢复</w:t>
            </w:r>
          </w:p>
        </w:tc>
        <w:tc>
          <w:tcPr>
            <w:tcW w:type="dxa" w:w="5046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无伪评分或过期补交易，旧贡献与保护继续</w:t>
            </w:r>
          </w:p>
        </w:tc>
      </w:tr>
      <w:tr>
        <w:trPr>
          <w:cantSplit/>
        </w:trPr>
        <w:tc>
          <w:tcPr>
            <w:tcW w:type="dxa" w:w="119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T3-07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产品特殊账务及失效参考价</w:t>
            </w:r>
          </w:p>
        </w:tc>
        <w:tc>
          <w:tcPr>
            <w:tcW w:type="dxa" w:w="5046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正确代理/核账，无三倍重复、无历史伪数据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T3-08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周末、节假日、夏令时与双次数触限</w:t>
            </w:r>
          </w:p>
        </w:tc>
        <w:tc>
          <w:tcPr>
            <w:tcW w:type="dxa" w:w="5046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窗口连续持久，禁增险而允许减险</w:t>
            </w:r>
          </w:p>
        </w:tc>
      </w:tr>
      <w:tr>
        <w:trPr>
          <w:cantSplit/>
        </w:trPr>
        <w:tc>
          <w:tcPr>
            <w:tcW w:type="dxa" w:w="119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T3-09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模拟/实盘及价格跳变</w:t>
            </w:r>
          </w:p>
        </w:tc>
        <w:tc>
          <w:tcPr>
            <w:tcW w:type="dxa" w:w="5046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4000/400上限与保护模式正确，不能自动扩额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T3-10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风险阈值证据不足或DEC-06未关闭</w:t>
            </w:r>
          </w:p>
        </w:tc>
        <w:tc>
          <w:tcPr>
            <w:tcW w:type="dxa" w:w="5046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明确阻塞有限实盘，离线工作可继续</w:t>
            </w:r>
          </w:p>
        </w:tc>
      </w:tr>
      <w:tr>
        <w:trPr>
          <w:cantSplit/>
        </w:trPr>
        <w:tc>
          <w:tcPr>
            <w:tcW w:type="dxa" w:w="119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T3-11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用户离线及周期报告</w:t>
            </w:r>
          </w:p>
        </w:tc>
        <w:tc>
          <w:tcPr>
            <w:tcW w:type="dxa" w:w="5046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合格参数自动生效，可追踪拒绝/回滚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T3-12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评分评测、知识污染及核心假设不支持</w:t>
            </w:r>
          </w:p>
        </w:tc>
        <w:tc>
          <w:tcPr>
            <w:tcW w:type="dxa" w:w="5046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分项报告或证据不足，不跳过准入</w:t>
            </w:r>
          </w:p>
        </w:tc>
      </w:tr>
      <w:tr>
        <w:trPr>
          <w:cantSplit/>
        </w:trPr>
        <w:tc>
          <w:tcPr>
            <w:tcW w:type="dxa" w:w="119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T3-13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私有Prompt缺失、许可或发布扫描失败</w:t>
            </w:r>
          </w:p>
        </w:tc>
        <w:tc>
          <w:tcPr>
            <w:tcW w:type="dxa" w:w="5046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明确模拟/停用，阻止生产启用或公开发布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T3-14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主机失效、残仓与恢复</w:t>
            </w:r>
          </w:p>
        </w:tc>
        <w:tc>
          <w:tcPr>
            <w:tcW w:type="dxa" w:w="5046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人工预案及事实导入可核验，不自动补仓</w:t>
            </w:r>
          </w:p>
        </w:tc>
      </w:tr>
    </w:tbl>
    <w:p>
      <w:pPr>
        <w:spacing w:after="40"/>
      </w:pPr>
    </w:p>
    <w:p>
      <w:pPr>
        <w:pStyle w:val="Heading1"/>
      </w:pPr>
      <w:r>
        <w:t>4 本版范围</w:t>
      </w:r>
    </w:p>
    <w:p>
      <w:r>
        <w:t>仅实现 SOXLUSDT/JEV 这一应用。未来新增实例复用下层能力；本版不额外规定其他策略、其他对象或替代模型的生产实现。JEV 协议版本、抽取器、来源许可与白名单、时效、两次数阈值、风险日、本金及实盘人工预案仍按登记证据关闭。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73"/>
        <w:sz w:val="16"/>
      </w:rPr>
      <w:t xml:space="preserve">Factorforge v2.0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b w:val="0"/>
      <w:color w:val="1D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93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9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9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D293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03_SOXLUSDT_JEV应用实例式样书</dc:title>
  <dc:subject/>
  <dc:creator>Factorforge</dc:creator>
  <cp:keywords/>
  <dc:description>generated by python-docx</dc:description>
  <cp:lastModifiedBy>Factorforge</cp:lastModifiedBy>
  <cp:revision>1</cp:revision>
  <dcterms:created xsi:type="dcterms:W3CDTF">2026-10-04T00:00:00Z</dcterms:created>
  <dcterms:modified xsi:type="dcterms:W3CDTF">2026-10-04T00:00:00Z</dcterms:modified>
  <cp:category/>
</cp:coreProperties>
</file>