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F1FC" w14:textId="77777777" w:rsidR="00382854" w:rsidRDefault="00382854">
      <w:r>
        <w:rPr>
          <w:rFonts w:hint="eastAsia"/>
        </w:rPr>
        <w:t>季度销售报告</w:t>
      </w:r>
    </w:p>
    <w:p w14:paraId="024E01DA" w14:textId="77777777" w:rsidR="00382854" w:rsidRDefault="00382854">
      <w:r>
        <w:rPr>
          <w:rFonts w:hint="eastAsia"/>
        </w:rPr>
        <w:t>本季度总营收为</w:t>
      </w:r>
      <w:r>
        <w:t xml:space="preserve"> 1250 万元，同比增长 18%。</w:t>
      </w:r>
    </w:p>
    <w:p w14:paraId="4189FC34" w14:textId="77777777" w:rsidR="00382854" w:rsidRDefault="00382854">
      <w:r>
        <w:rPr>
          <w:rFonts w:hint="eastAsia"/>
        </w:rPr>
        <w:t>主要增长来自华东区与线上渠道。</w:t>
      </w:r>
    </w:p>
    <w:p w14:paraId="467CF7D0" w14:textId="659D2317" w:rsidR="00382854" w:rsidRDefault="00382854">
      <w:r>
        <w:rPr>
          <w:rFonts w:hint="eastAsia"/>
        </w:rPr>
        <w:t>下一步计划：扩大线上投放，优化供应链。</w:t>
      </w:r>
    </w:p>
    <w:sectPr w:rsidR="00382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54"/>
    <w:rsid w:val="00382854"/>
    <w:rsid w:val="004E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B8E8"/>
  <w15:chartTrackingRefBased/>
  <w15:docId w15:val="{3E26F2E6-610B-4E1E-8522-159BD826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28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8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8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8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8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8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8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8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28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8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8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28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8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8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8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8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8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8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28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8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8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28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2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 张</dc:creator>
  <cp:keywords/>
  <dc:description/>
  <cp:lastModifiedBy>雷 张</cp:lastModifiedBy>
  <cp:revision>1</cp:revision>
  <dcterms:created xsi:type="dcterms:W3CDTF">2026-07-31T09:39:00Z</dcterms:created>
  <dcterms:modified xsi:type="dcterms:W3CDTF">2026-07-31T09:39:00Z</dcterms:modified>
</cp:coreProperties>
</file>