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b/>
          <w:color w:val="2E74B5"/>
          <w:sz w:val="22"/>
        </w:rPr>
        <w:t>挑战杯“揭榜挂帅”专项赛 · 项目实施方案</w:t>
      </w:r>
    </w:p>
    <w:p>
      <w:pPr>
        <w:spacing w:after="160"/>
        <w:jc w:val="center"/>
      </w:pPr>
      <w:r>
        <w:rPr>
          <w:b/>
          <w:color w:val="1F4D78"/>
          <w:sz w:val="60"/>
        </w:rPr>
        <w:t>ResearchSwarm</w:t>
      </w:r>
    </w:p>
    <w:p>
      <w:pPr>
        <w:spacing w:after="400"/>
        <w:jc w:val="center"/>
      </w:pPr>
      <w:r>
        <w:rPr>
          <w:b/>
          <w:color w:val="2E74B5"/>
          <w:sz w:val="34"/>
        </w:rPr>
        <w:t>面向超长程复杂任务的动态异构群体智能引擎</w:t>
      </w:r>
    </w:p>
    <w:p>
      <w:pPr>
        <w:spacing w:after="1400"/>
        <w:jc w:val="center"/>
      </w:pPr>
      <w:r>
        <w:rPr>
          <w:i/>
          <w:color w:val="666666"/>
          <w:sz w:val="24"/>
        </w:rPr>
        <w:t>以 autoresearch-master 为基础的改造与参赛计划</w:t>
      </w:r>
    </w:p>
    <w:tbl>
      <w:tblPr>
        <w:tblStyle w:val="TableGrid"/>
        <w:tblW w:type="dxa" w:w="9360"/>
        <w:jc w:val="left"/>
        <w:tblLayout w:type="fixed"/>
        <w:tblLook w:firstColumn="1" w:firstRow="1" w:lastColumn="0" w:lastRow="0" w:noHBand="0" w:noVBand="1" w:val="04A0"/>
        <w:tblInd w:w="120" w:type="dxa"/>
      </w:tblPr>
      <w:tblGrid>
        <w:gridCol w:w="2500"/>
        <w:gridCol w:w="3430"/>
        <w:gridCol w:w="3430"/>
      </w:tblGrid>
      <w:tr>
        <w:trPr>
          <w:tblHeader/>
          <w:cantSplit/>
        </w:trPr>
        <w:tc>
          <w:tcPr>
            <w:tcW w:type="dxa" w:w="25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赛题编号</w:t>
            </w:r>
          </w:p>
        </w:tc>
        <w:tc>
          <w:tcPr>
            <w:tcW w:type="dxa" w:w="343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内部冻结日</w:t>
            </w:r>
          </w:p>
        </w:tc>
        <w:tc>
          <w:tcPr>
            <w:tcW w:type="dxa" w:w="343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官方提交截止</w:t>
            </w:r>
          </w:p>
        </w:tc>
      </w:tr>
      <w:tr>
        <w:trPr>
          <w:cantSplit/>
        </w:trPr>
        <w:tc>
          <w:tcPr>
            <w:tcW w:type="dxa" w:w="2500"/>
            <w:tcMar>
              <w:top w:w="80" w:type="dxa"/>
              <w:start w:w="120" w:type="dxa"/>
              <w:bottom w:w="80" w:type="dxa"/>
              <w:end w:w="120" w:type="dxa"/>
            </w:tcMar>
            <w:vAlign w:val="center"/>
          </w:tcPr>
          <w:p>
            <w:pPr>
              <w:spacing w:after="40" w:line="264" w:lineRule="auto"/>
              <w:jc w:val="center"/>
            </w:pPr>
            <w:r>
              <w:rPr>
                <w:rFonts w:ascii="Calibri" w:hAnsi="Calibri" w:eastAsia="等线"/>
                <w:sz w:val="19"/>
              </w:rPr>
              <w:t>XH-202631</w:t>
            </w:r>
          </w:p>
        </w:tc>
        <w:tc>
          <w:tcPr>
            <w:tcW w:type="dxa" w:w="3430"/>
            <w:tcMar>
              <w:top w:w="80" w:type="dxa"/>
              <w:start w:w="120" w:type="dxa"/>
              <w:bottom w:w="80" w:type="dxa"/>
              <w:end w:w="120" w:type="dxa"/>
            </w:tcMar>
            <w:vAlign w:val="center"/>
          </w:tcPr>
          <w:p>
            <w:pPr>
              <w:spacing w:after="40" w:line="264" w:lineRule="auto"/>
            </w:pPr>
            <w:r>
              <w:rPr>
                <w:rFonts w:ascii="Calibri" w:hAnsi="Calibri" w:eastAsia="等线"/>
                <w:sz w:val="19"/>
              </w:rPr>
              <w:t>2026 年 9 月 1 日</w:t>
            </w:r>
          </w:p>
        </w:tc>
        <w:tc>
          <w:tcPr>
            <w:tcW w:type="dxa" w:w="3430"/>
            <w:tcMar>
              <w:top w:w="80" w:type="dxa"/>
              <w:start w:w="120" w:type="dxa"/>
              <w:bottom w:w="80" w:type="dxa"/>
              <w:end w:w="120" w:type="dxa"/>
            </w:tcMar>
            <w:vAlign w:val="center"/>
          </w:tcPr>
          <w:p>
            <w:pPr>
              <w:spacing w:after="40" w:line="264" w:lineRule="auto"/>
            </w:pPr>
            <w:r>
              <w:rPr>
                <w:rFonts w:ascii="Calibri" w:hAnsi="Calibri" w:eastAsia="等线"/>
                <w:sz w:val="19"/>
              </w:rPr>
              <w:t>2026 年 9 月 15 日前</w:t>
            </w:r>
          </w:p>
        </w:tc>
      </w:tr>
    </w:tbl>
    <w:p>
      <w:pPr>
        <w:spacing w:after="0"/>
      </w:pPr>
    </w:p>
    <w:p>
      <w:pPr>
        <w:spacing w:before="480"/>
        <w:jc w:val="center"/>
      </w:pPr>
      <w:r>
        <w:rPr>
          <w:color w:val="666666"/>
        </w:rPr>
        <w:t>编制日期：2026 年 7 月 17 日</w:t>
      </w:r>
    </w:p>
    <w:p>
      <w:r>
        <w:br w:type="page"/>
      </w:r>
    </w:p>
    <w:p>
      <w:pPr>
        <w:pStyle w:val="Heading1"/>
      </w:pPr>
      <w:r>
        <w:t>执行摘要</w:t>
      </w:r>
    </w:p>
    <w:p>
      <w:r>
        <w:t>本方案以现有 autoresearch-master 为技术起点，目标不是交付单一的“自动科研”应用，而是将其重构为可复用的动态异构群体智能底座。系统以科研闭环作为主场景，以软件工程闭环作为跨领域验证场景，重点证明超长程记忆保持、动态稀疏拓扑、低熵通信、端边云协同调度以及故障自恢复能力。</w:t>
      </w:r>
    </w:p>
    <w:p>
      <w:pPr>
        <w:spacing w:before="80" w:after="160"/>
        <w:ind w:left="115" w:right="115"/>
        <w:shd w:fill="EAF2F8"/>
        <w:pBdr>
          <w:left w:val="single" w:sz="18" w:space="8" w:color="2E74B5"/>
        </w:pBdr>
      </w:pPr>
      <w:r>
        <w:rPr>
          <w:b/>
          <w:color w:val="1F4D78"/>
        </w:rPr>
        <w:t>关键策略：</w:t>
      </w:r>
      <w:r>
        <w:t>9 月 1 日作为功能与材料冻结日，预留 14 天完成长稳测试、视频录制、盖章材料和最终提交。优先保证两个高完成度 Demo 与量化证据链，再投入学习型路由或真实端侧模型切分等冲刺能力。</w:t>
      </w:r>
    </w:p>
    <w:p>
      <w:pPr>
        <w:pStyle w:val="Heading1"/>
      </w:pPr>
      <w:r>
        <w:t>1. 赛题解读与项目目标</w:t>
      </w:r>
    </w:p>
    <w:p>
      <w:pPr>
        <w:pStyle w:val="Heading2"/>
      </w:pPr>
      <w:r>
        <w:t>1.1 赛题硬性要求</w:t>
      </w:r>
    </w:p>
    <w:p>
      <w:pPr>
        <w:pStyle w:val="ListBullet"/>
      </w:pPr>
      <w:r>
        <w:t>在无人工干预下完成多智能体长程协作闭环，并展示中间决策过程和推理轨迹。</w:t>
      </w:r>
    </w:p>
    <w:p>
      <w:pPr>
        <w:pStyle w:val="ListBullet"/>
      </w:pPr>
      <w:r>
        <w:t>通过分布式记忆和上下文压缩/唤醒机制，避免关键事实丢失与全局目标漂移。</w:t>
      </w:r>
    </w:p>
    <w:p>
      <w:pPr>
        <w:pStyle w:val="ListBullet"/>
      </w:pPr>
      <w:r>
        <w:t>使用异构智能体角色和随任务动态变化的稀疏通信拓扑，而非静态全连接。</w:t>
      </w:r>
    </w:p>
    <w:p>
      <w:pPr>
        <w:pStyle w:val="ListBullet"/>
      </w:pPr>
      <w:r>
        <w:t>依据实时性、复杂度和数据敏感等级，在终端、边缘与云端之间自适应选择推理位置。</w:t>
      </w:r>
    </w:p>
    <w:p>
      <w:pPr>
        <w:pStyle w:val="ListBullet"/>
      </w:pPr>
      <w:r>
        <w:t>接受异常、需求变更或节点失效的动态注入，并能自动恢复和完成交付。</w:t>
      </w:r>
    </w:p>
    <w:p>
      <w:pPr>
        <w:pStyle w:val="ListBullet"/>
      </w:pPr>
      <w:r>
        <w:t>至少演示两个高完成度跨领域长程任务，以证明泛化和组合能力。</w:t>
      </w:r>
    </w:p>
    <w:p>
      <w:pPr>
        <w:pStyle w:val="Heading2"/>
      </w:pPr>
      <w:r>
        <w:t>1.2 总体目标</w:t>
      </w:r>
    </w:p>
    <w:p>
      <w:r>
        <w:t>到 2026 年 9 月 1 日完成 v1.0-rc1：具备可部署、可观测、可恢复、可跨场景验证的群体智能系统；到 9 月 15 日前完成正式材料、演示视频和交付包。建议以约 81/100 为工程目标分，避免在时间有限的情况下平均用力。</w:t>
      </w:r>
    </w:p>
    <w:p>
      <w:pPr>
        <w:pStyle w:val="Heading2"/>
      </w:pPr>
      <w:r>
        <w:t>1.3 评分反推</w:t>
      </w:r>
    </w:p>
    <w:tbl>
      <w:tblPr>
        <w:tblStyle w:val="TableGrid"/>
        <w:tblW w:type="dxa" w:w="9360"/>
        <w:jc w:val="left"/>
        <w:tblLayout w:type="fixed"/>
        <w:tblLook w:firstColumn="1" w:firstRow="1" w:lastColumn="0" w:lastRow="0" w:noHBand="0" w:noVBand="1" w:val="04A0"/>
        <w:tblInd w:w="120" w:type="dxa"/>
      </w:tblPr>
      <w:tblGrid>
        <w:gridCol w:w="1900"/>
        <w:gridCol w:w="1000"/>
        <w:gridCol w:w="6460"/>
      </w:tblGrid>
      <w:tr>
        <w:trPr>
          <w:tblHeader/>
          <w:cantSplit/>
        </w:trPr>
        <w:tc>
          <w:tcPr>
            <w:tcW w:type="dxa" w:w="19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评分项</w:t>
            </w:r>
          </w:p>
        </w:tc>
        <w:tc>
          <w:tcPr>
            <w:tcW w:type="dxa" w:w="10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分值</w:t>
            </w:r>
          </w:p>
        </w:tc>
        <w:tc>
          <w:tcPr>
            <w:tcW w:type="dxa" w:w="646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必须提供的证据</w:t>
            </w:r>
          </w:p>
        </w:tc>
      </w:tr>
      <w:tr>
        <w:trPr>
          <w:cantSplit/>
        </w:trPr>
        <w:tc>
          <w:tcPr>
            <w:tcW w:type="dxa" w:w="1900"/>
            <w:tcMar>
              <w:top w:w="80" w:type="dxa"/>
              <w:start w:w="120" w:type="dxa"/>
              <w:bottom w:w="80" w:type="dxa"/>
              <w:end w:w="120" w:type="dxa"/>
            </w:tcMar>
            <w:vAlign w:val="center"/>
          </w:tcPr>
          <w:p>
            <w:pPr>
              <w:spacing w:after="40" w:line="264" w:lineRule="auto"/>
              <w:jc w:val="center"/>
            </w:pPr>
            <w:r>
              <w:rPr>
                <w:rFonts w:ascii="Calibri" w:hAnsi="Calibri" w:eastAsia="等线"/>
                <w:sz w:val="19"/>
              </w:rPr>
              <w:t>完整闭环</w:t>
            </w:r>
          </w:p>
        </w:tc>
        <w:tc>
          <w:tcPr>
            <w:tcW w:type="dxa" w:w="1000"/>
            <w:tcMar>
              <w:top w:w="80" w:type="dxa"/>
              <w:start w:w="120" w:type="dxa"/>
              <w:bottom w:w="80" w:type="dxa"/>
              <w:end w:w="120" w:type="dxa"/>
            </w:tcMar>
            <w:vAlign w:val="center"/>
          </w:tcPr>
          <w:p>
            <w:pPr>
              <w:spacing w:after="40" w:line="264" w:lineRule="auto"/>
            </w:pPr>
            <w:r>
              <w:rPr>
                <w:rFonts w:ascii="Calibri" w:hAnsi="Calibri" w:eastAsia="等线"/>
                <w:sz w:val="19"/>
              </w:rPr>
              <w:t>15</w:t>
            </w:r>
          </w:p>
        </w:tc>
        <w:tc>
          <w:tcPr>
            <w:tcW w:type="dxa" w:w="6460"/>
            <w:tcMar>
              <w:top w:w="80" w:type="dxa"/>
              <w:start w:w="120" w:type="dxa"/>
              <w:bottom w:w="80" w:type="dxa"/>
              <w:end w:w="120" w:type="dxa"/>
            </w:tcMar>
            <w:vAlign w:val="center"/>
          </w:tcPr>
          <w:p>
            <w:pPr>
              <w:spacing w:after="40" w:line="264" w:lineRule="auto"/>
            </w:pPr>
            <w:r>
              <w:rPr>
                <w:rFonts w:ascii="Calibri" w:hAnsi="Calibri" w:eastAsia="等线"/>
                <w:sz w:val="19"/>
              </w:rPr>
              <w:t>端到端轨迹、检查点恢复、失败后自动重规划</w:t>
            </w:r>
          </w:p>
        </w:tc>
      </w:tr>
      <w:tr>
        <w:trPr>
          <w:cantSplit/>
        </w:trPr>
        <w:tc>
          <w:tcPr>
            <w:tcW w:type="dxa" w:w="1900"/>
            <w:tcMar>
              <w:top w:w="80" w:type="dxa"/>
              <w:start w:w="120" w:type="dxa"/>
              <w:bottom w:w="80" w:type="dxa"/>
              <w:end w:w="120" w:type="dxa"/>
            </w:tcMar>
            <w:vAlign w:val="center"/>
          </w:tcPr>
          <w:p>
            <w:pPr>
              <w:spacing w:after="40" w:line="264" w:lineRule="auto"/>
              <w:jc w:val="center"/>
            </w:pPr>
            <w:r>
              <w:rPr>
                <w:rFonts w:ascii="Calibri" w:hAnsi="Calibri" w:eastAsia="等线"/>
                <w:sz w:val="19"/>
              </w:rPr>
              <w:t>组织协作</w:t>
            </w:r>
          </w:p>
        </w:tc>
        <w:tc>
          <w:tcPr>
            <w:tcW w:type="dxa" w:w="1000"/>
            <w:tcMar>
              <w:top w:w="80" w:type="dxa"/>
              <w:start w:w="120" w:type="dxa"/>
              <w:bottom w:w="80" w:type="dxa"/>
              <w:end w:w="120" w:type="dxa"/>
            </w:tcMar>
            <w:vAlign w:val="center"/>
          </w:tcPr>
          <w:p>
            <w:pPr>
              <w:spacing w:after="40" w:line="264" w:lineRule="auto"/>
            </w:pPr>
            <w:r>
              <w:rPr>
                <w:rFonts w:ascii="Calibri" w:hAnsi="Calibri" w:eastAsia="等线"/>
                <w:sz w:val="19"/>
              </w:rPr>
              <w:t>15</w:t>
            </w:r>
          </w:p>
        </w:tc>
        <w:tc>
          <w:tcPr>
            <w:tcW w:type="dxa" w:w="6460"/>
            <w:tcMar>
              <w:top w:w="80" w:type="dxa"/>
              <w:start w:w="120" w:type="dxa"/>
              <w:bottom w:w="80" w:type="dxa"/>
              <w:end w:w="120" w:type="dxa"/>
            </w:tcMar>
            <w:vAlign w:val="center"/>
          </w:tcPr>
          <w:p>
            <w:pPr>
              <w:spacing w:after="40" w:line="264" w:lineRule="auto"/>
            </w:pPr>
            <w:r>
              <w:rPr>
                <w:rFonts w:ascii="Calibri" w:hAnsi="Calibri" w:eastAsia="等线"/>
                <w:sz w:val="19"/>
              </w:rPr>
              <w:t>层级角色、动态组队、每轮稀疏拓扑可视化</w:t>
            </w:r>
          </w:p>
        </w:tc>
      </w:tr>
      <w:tr>
        <w:trPr>
          <w:cantSplit/>
        </w:trPr>
        <w:tc>
          <w:tcPr>
            <w:tcW w:type="dxa" w:w="1900"/>
            <w:tcMar>
              <w:top w:w="80" w:type="dxa"/>
              <w:start w:w="120" w:type="dxa"/>
              <w:bottom w:w="80" w:type="dxa"/>
              <w:end w:w="120" w:type="dxa"/>
            </w:tcMar>
            <w:vAlign w:val="center"/>
          </w:tcPr>
          <w:p>
            <w:pPr>
              <w:spacing w:after="40" w:line="264" w:lineRule="auto"/>
              <w:jc w:val="center"/>
            </w:pPr>
            <w:r>
              <w:rPr>
                <w:rFonts w:ascii="Calibri" w:hAnsi="Calibri" w:eastAsia="等线"/>
                <w:sz w:val="19"/>
              </w:rPr>
              <w:t>多任务演示</w:t>
            </w:r>
          </w:p>
        </w:tc>
        <w:tc>
          <w:tcPr>
            <w:tcW w:type="dxa" w:w="1000"/>
            <w:tcMar>
              <w:top w:w="80" w:type="dxa"/>
              <w:start w:w="120" w:type="dxa"/>
              <w:bottom w:w="80" w:type="dxa"/>
              <w:end w:w="120" w:type="dxa"/>
            </w:tcMar>
            <w:vAlign w:val="center"/>
          </w:tcPr>
          <w:p>
            <w:pPr>
              <w:spacing w:after="40" w:line="264" w:lineRule="auto"/>
            </w:pPr>
            <w:r>
              <w:rPr>
                <w:rFonts w:ascii="Calibri" w:hAnsi="Calibri" w:eastAsia="等线"/>
                <w:sz w:val="19"/>
              </w:rPr>
              <w:t>10</w:t>
            </w:r>
          </w:p>
        </w:tc>
        <w:tc>
          <w:tcPr>
            <w:tcW w:type="dxa" w:w="6460"/>
            <w:tcMar>
              <w:top w:w="80" w:type="dxa"/>
              <w:start w:w="120" w:type="dxa"/>
              <w:bottom w:w="80" w:type="dxa"/>
              <w:end w:w="120" w:type="dxa"/>
            </w:tcMar>
            <w:vAlign w:val="center"/>
          </w:tcPr>
          <w:p>
            <w:pPr>
              <w:spacing w:after="40" w:line="264" w:lineRule="auto"/>
            </w:pPr>
            <w:r>
              <w:rPr>
                <w:rFonts w:ascii="Calibri" w:hAnsi="Calibri" w:eastAsia="等线"/>
                <w:sz w:val="19"/>
              </w:rPr>
              <w:t>科研与软件工程两个跨领域任务</w:t>
            </w:r>
          </w:p>
        </w:tc>
      </w:tr>
      <w:tr>
        <w:trPr>
          <w:cantSplit/>
        </w:trPr>
        <w:tc>
          <w:tcPr>
            <w:tcW w:type="dxa" w:w="1900"/>
            <w:tcMar>
              <w:top w:w="80" w:type="dxa"/>
              <w:start w:w="120" w:type="dxa"/>
              <w:bottom w:w="80" w:type="dxa"/>
              <w:end w:w="120" w:type="dxa"/>
            </w:tcMar>
            <w:vAlign w:val="center"/>
          </w:tcPr>
          <w:p>
            <w:pPr>
              <w:spacing w:after="40" w:line="264" w:lineRule="auto"/>
              <w:jc w:val="center"/>
            </w:pPr>
            <w:r>
              <w:rPr>
                <w:rFonts w:ascii="Calibri" w:hAnsi="Calibri" w:eastAsia="等线"/>
                <w:sz w:val="19"/>
              </w:rPr>
              <w:t>应用创新</w:t>
            </w:r>
          </w:p>
        </w:tc>
        <w:tc>
          <w:tcPr>
            <w:tcW w:type="dxa" w:w="1000"/>
            <w:tcMar>
              <w:top w:w="80" w:type="dxa"/>
              <w:start w:w="120" w:type="dxa"/>
              <w:bottom w:w="80" w:type="dxa"/>
              <w:end w:w="120" w:type="dxa"/>
            </w:tcMar>
            <w:vAlign w:val="center"/>
          </w:tcPr>
          <w:p>
            <w:pPr>
              <w:spacing w:after="40" w:line="264" w:lineRule="auto"/>
            </w:pPr>
            <w:r>
              <w:rPr>
                <w:rFonts w:ascii="Calibri" w:hAnsi="Calibri" w:eastAsia="等线"/>
                <w:sz w:val="19"/>
              </w:rPr>
              <w:t>25</w:t>
            </w:r>
          </w:p>
        </w:tc>
        <w:tc>
          <w:tcPr>
            <w:tcW w:type="dxa" w:w="6460"/>
            <w:tcMar>
              <w:top w:w="80" w:type="dxa"/>
              <w:start w:w="120" w:type="dxa"/>
              <w:bottom w:w="80" w:type="dxa"/>
              <w:end w:w="120" w:type="dxa"/>
            </w:tcMar>
            <w:vAlign w:val="center"/>
          </w:tcPr>
          <w:p>
            <w:pPr>
              <w:spacing w:after="40" w:line="264" w:lineRule="auto"/>
            </w:pPr>
            <w:r>
              <w:rPr>
                <w:rFonts w:ascii="Calibri" w:hAnsi="Calibri" w:eastAsia="等线"/>
                <w:sz w:val="19"/>
              </w:rPr>
              <w:t>效率收益、统一界面、清晰业务价值</w:t>
            </w:r>
          </w:p>
        </w:tc>
      </w:tr>
      <w:tr>
        <w:trPr>
          <w:cantSplit/>
        </w:trPr>
        <w:tc>
          <w:tcPr>
            <w:tcW w:type="dxa" w:w="1900"/>
            <w:tcMar>
              <w:top w:w="80" w:type="dxa"/>
              <w:start w:w="120" w:type="dxa"/>
              <w:bottom w:w="80" w:type="dxa"/>
              <w:end w:w="120" w:type="dxa"/>
            </w:tcMar>
            <w:vAlign w:val="center"/>
          </w:tcPr>
          <w:p>
            <w:pPr>
              <w:spacing w:after="40" w:line="264" w:lineRule="auto"/>
              <w:jc w:val="center"/>
            </w:pPr>
            <w:r>
              <w:rPr>
                <w:rFonts w:ascii="Calibri" w:hAnsi="Calibri" w:eastAsia="等线"/>
                <w:sz w:val="19"/>
              </w:rPr>
              <w:t>技术创新</w:t>
            </w:r>
          </w:p>
        </w:tc>
        <w:tc>
          <w:tcPr>
            <w:tcW w:type="dxa" w:w="1000"/>
            <w:tcMar>
              <w:top w:w="80" w:type="dxa"/>
              <w:start w:w="120" w:type="dxa"/>
              <w:bottom w:w="80" w:type="dxa"/>
              <w:end w:w="120" w:type="dxa"/>
            </w:tcMar>
            <w:vAlign w:val="center"/>
          </w:tcPr>
          <w:p>
            <w:pPr>
              <w:spacing w:after="40" w:line="264" w:lineRule="auto"/>
            </w:pPr>
            <w:r>
              <w:rPr>
                <w:rFonts w:ascii="Calibri" w:hAnsi="Calibri" w:eastAsia="等线"/>
                <w:sz w:val="19"/>
              </w:rPr>
              <w:t>20</w:t>
            </w:r>
          </w:p>
        </w:tc>
        <w:tc>
          <w:tcPr>
            <w:tcW w:type="dxa" w:w="6460"/>
            <w:tcMar>
              <w:top w:w="80" w:type="dxa"/>
              <w:start w:w="120" w:type="dxa"/>
              <w:bottom w:w="80" w:type="dxa"/>
              <w:end w:w="120" w:type="dxa"/>
            </w:tcMar>
            <w:vAlign w:val="center"/>
          </w:tcPr>
          <w:p>
            <w:pPr>
              <w:spacing w:after="40" w:line="264" w:lineRule="auto"/>
            </w:pPr>
            <w:r>
              <w:rPr>
                <w:rFonts w:ascii="Calibri" w:hAnsi="Calibri" w:eastAsia="等线"/>
                <w:sz w:val="19"/>
              </w:rPr>
              <w:t>路由降噪、分层记忆、消融实验和复杂度分析</w:t>
            </w:r>
          </w:p>
        </w:tc>
      </w:tr>
      <w:tr>
        <w:trPr>
          <w:cantSplit/>
        </w:trPr>
        <w:tc>
          <w:tcPr>
            <w:tcW w:type="dxa" w:w="1900"/>
            <w:tcMar>
              <w:top w:w="80" w:type="dxa"/>
              <w:start w:w="120" w:type="dxa"/>
              <w:bottom w:w="80" w:type="dxa"/>
              <w:end w:w="120" w:type="dxa"/>
            </w:tcMar>
            <w:vAlign w:val="center"/>
          </w:tcPr>
          <w:p>
            <w:pPr>
              <w:spacing w:after="40" w:line="264" w:lineRule="auto"/>
              <w:jc w:val="center"/>
            </w:pPr>
            <w:r>
              <w:rPr>
                <w:rFonts w:ascii="Calibri" w:hAnsi="Calibri" w:eastAsia="等线"/>
                <w:sz w:val="19"/>
              </w:rPr>
              <w:t>性能效率</w:t>
            </w:r>
          </w:p>
        </w:tc>
        <w:tc>
          <w:tcPr>
            <w:tcW w:type="dxa" w:w="1000"/>
            <w:tcMar>
              <w:top w:w="80" w:type="dxa"/>
              <w:start w:w="120" w:type="dxa"/>
              <w:bottom w:w="80" w:type="dxa"/>
              <w:end w:w="120" w:type="dxa"/>
            </w:tcMar>
            <w:vAlign w:val="center"/>
          </w:tcPr>
          <w:p>
            <w:pPr>
              <w:spacing w:after="40" w:line="264" w:lineRule="auto"/>
            </w:pPr>
            <w:r>
              <w:rPr>
                <w:rFonts w:ascii="Calibri" w:hAnsi="Calibri" w:eastAsia="等线"/>
                <w:sz w:val="19"/>
              </w:rPr>
              <w:t>15</w:t>
            </w:r>
          </w:p>
        </w:tc>
        <w:tc>
          <w:tcPr>
            <w:tcW w:type="dxa" w:w="6460"/>
            <w:tcMar>
              <w:top w:w="80" w:type="dxa"/>
              <w:start w:w="120" w:type="dxa"/>
              <w:bottom w:w="80" w:type="dxa"/>
              <w:end w:w="120" w:type="dxa"/>
            </w:tcMar>
            <w:vAlign w:val="center"/>
          </w:tcPr>
          <w:p>
            <w:pPr>
              <w:spacing w:after="40" w:line="264" w:lineRule="auto"/>
            </w:pPr>
            <w:r>
              <w:rPr>
                <w:rFonts w:ascii="Calibri" w:hAnsi="Calibri" w:eastAsia="等线"/>
                <w:sz w:val="19"/>
              </w:rPr>
              <w:t>成功率、Token、耗时、兼容性和故障恢复数据</w:t>
            </w:r>
          </w:p>
        </w:tc>
      </w:tr>
    </w:tbl>
    <w:p>
      <w:pPr>
        <w:spacing w:after="0"/>
      </w:pPr>
    </w:p>
    <w:p>
      <w:pPr>
        <w:pStyle w:val="Heading1"/>
      </w:pPr>
      <w:r>
        <w:t>2. 产品定位与演示场景</w:t>
      </w:r>
    </w:p>
    <w:p>
      <w:pPr>
        <w:pStyle w:val="Heading2"/>
      </w:pPr>
      <w:r>
        <w:t>2.1 项目定位</w:t>
      </w:r>
    </w:p>
    <w:p>
      <w:r>
        <w:t>ResearchSwarm 是一个从高层自然语言意图出发，能够自动组织异构智能体、生成动态协作拓扑、持续维护任务记忆并在异构算力环境中完成闭环交付的自治引擎。autoresearch-master 是第一验证场景和代码基础，但项目架构必须抽象出通用任务状态、Agent 能力注册、消息协议、记忆接口、调度器与可观测系统。</w:t>
      </w:r>
    </w:p>
    <w:p>
      <w:pPr>
        <w:pStyle w:val="Heading2"/>
      </w:pPr>
      <w:r>
        <w:t>2.2 两个跨领域 Demo</w:t>
      </w:r>
    </w:p>
    <w:tbl>
      <w:tblPr>
        <w:tblStyle w:val="TableGrid"/>
        <w:tblW w:type="dxa" w:w="9360"/>
        <w:jc w:val="left"/>
        <w:tblLayout w:type="fixed"/>
        <w:tblLook w:firstColumn="1" w:firstRow="1" w:lastColumn="0" w:lastRow="0" w:noHBand="0" w:noVBand="1" w:val="04A0"/>
        <w:tblInd w:w="120" w:type="dxa"/>
      </w:tblPr>
      <w:tblGrid>
        <w:gridCol w:w="2200"/>
        <w:gridCol w:w="4400"/>
        <w:gridCol w:w="2760"/>
      </w:tblGrid>
      <w:tr>
        <w:trPr>
          <w:tblHeader/>
          <w:cantSplit/>
        </w:trPr>
        <w:tc>
          <w:tcPr>
            <w:tcW w:type="dxa" w:w="22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场景</w:t>
            </w:r>
          </w:p>
        </w:tc>
        <w:tc>
          <w:tcPr>
            <w:tcW w:type="dxa" w:w="44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端到端链路</w:t>
            </w:r>
          </w:p>
        </w:tc>
        <w:tc>
          <w:tcPr>
            <w:tcW w:type="dxa" w:w="276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主要评分价值</w:t>
            </w:r>
          </w:p>
        </w:tc>
      </w:tr>
      <w:tr>
        <w:trPr>
          <w:cantSplit/>
        </w:trPr>
        <w:tc>
          <w:tcPr>
            <w:tcW w:type="dxa" w:w="2200"/>
            <w:tcMar>
              <w:top w:w="80" w:type="dxa"/>
              <w:start w:w="120" w:type="dxa"/>
              <w:bottom w:w="80" w:type="dxa"/>
              <w:end w:w="120" w:type="dxa"/>
            </w:tcMar>
            <w:vAlign w:val="center"/>
          </w:tcPr>
          <w:p>
            <w:pPr>
              <w:spacing w:after="40" w:line="264" w:lineRule="auto"/>
              <w:jc w:val="center"/>
            </w:pPr>
            <w:r>
              <w:rPr>
                <w:rFonts w:ascii="Calibri" w:hAnsi="Calibri" w:eastAsia="等线"/>
                <w:sz w:val="19"/>
              </w:rPr>
              <w:t>科研闭环（主场景）</w:t>
            </w:r>
          </w:p>
        </w:tc>
        <w:tc>
          <w:tcPr>
            <w:tcW w:type="dxa" w:w="4400"/>
            <w:tcMar>
              <w:top w:w="80" w:type="dxa"/>
              <w:start w:w="120" w:type="dxa"/>
              <w:bottom w:w="80" w:type="dxa"/>
              <w:end w:w="120" w:type="dxa"/>
            </w:tcMar>
            <w:vAlign w:val="center"/>
          </w:tcPr>
          <w:p>
            <w:pPr>
              <w:spacing w:after="40" w:line="264" w:lineRule="auto"/>
            </w:pPr>
            <w:r>
              <w:rPr>
                <w:rFonts w:ascii="Calibri" w:hAnsi="Calibri" w:eastAsia="等线"/>
                <w:sz w:val="19"/>
              </w:rPr>
              <w:t>问题定义 → 检索 → 假设 → 实验设计 → 代码/实验 → 结果分析 → 评审 → 报告</w:t>
            </w:r>
          </w:p>
        </w:tc>
        <w:tc>
          <w:tcPr>
            <w:tcW w:type="dxa" w:w="2760"/>
            <w:tcMar>
              <w:top w:w="80" w:type="dxa"/>
              <w:start w:w="120" w:type="dxa"/>
              <w:bottom w:w="80" w:type="dxa"/>
              <w:end w:w="120" w:type="dxa"/>
            </w:tcMar>
            <w:vAlign w:val="center"/>
          </w:tcPr>
          <w:p>
            <w:pPr>
              <w:spacing w:after="40" w:line="264" w:lineRule="auto"/>
            </w:pPr>
            <w:r>
              <w:rPr>
                <w:rFonts w:ascii="Calibri" w:hAnsi="Calibri" w:eastAsia="等线"/>
                <w:sz w:val="19"/>
              </w:rPr>
              <w:t>体现超长程、工具调用、记忆保持和复杂推理</w:t>
            </w:r>
          </w:p>
        </w:tc>
      </w:tr>
      <w:tr>
        <w:trPr>
          <w:cantSplit/>
        </w:trPr>
        <w:tc>
          <w:tcPr>
            <w:tcW w:type="dxa" w:w="2200"/>
            <w:tcMar>
              <w:top w:w="80" w:type="dxa"/>
              <w:start w:w="120" w:type="dxa"/>
              <w:bottom w:w="80" w:type="dxa"/>
              <w:end w:w="120" w:type="dxa"/>
            </w:tcMar>
            <w:vAlign w:val="center"/>
          </w:tcPr>
          <w:p>
            <w:pPr>
              <w:spacing w:after="40" w:line="264" w:lineRule="auto"/>
              <w:jc w:val="center"/>
            </w:pPr>
            <w:r>
              <w:rPr>
                <w:rFonts w:ascii="Calibri" w:hAnsi="Calibri" w:eastAsia="等线"/>
                <w:sz w:val="19"/>
              </w:rPr>
              <w:t>软件工程（跨域）</w:t>
            </w:r>
          </w:p>
        </w:tc>
        <w:tc>
          <w:tcPr>
            <w:tcW w:type="dxa" w:w="4400"/>
            <w:tcMar>
              <w:top w:w="80" w:type="dxa"/>
              <w:start w:w="120" w:type="dxa"/>
              <w:bottom w:w="80" w:type="dxa"/>
              <w:end w:w="120" w:type="dxa"/>
            </w:tcMar>
            <w:vAlign w:val="center"/>
          </w:tcPr>
          <w:p>
            <w:pPr>
              <w:spacing w:after="40" w:line="264" w:lineRule="auto"/>
            </w:pPr>
            <w:r>
              <w:rPr>
                <w:rFonts w:ascii="Calibri" w:hAnsi="Calibri" w:eastAsia="等线"/>
                <w:sz w:val="19"/>
              </w:rPr>
              <w:t>模糊需求 → 规格 → 架构 → 编码 → 测试 → 故障修复 → 文档与交付</w:t>
            </w:r>
          </w:p>
        </w:tc>
        <w:tc>
          <w:tcPr>
            <w:tcW w:type="dxa" w:w="2760"/>
            <w:tcMar>
              <w:top w:w="80" w:type="dxa"/>
              <w:start w:w="120" w:type="dxa"/>
              <w:bottom w:w="80" w:type="dxa"/>
              <w:end w:w="120" w:type="dxa"/>
            </w:tcMar>
            <w:vAlign w:val="center"/>
          </w:tcPr>
          <w:p>
            <w:pPr>
              <w:spacing w:after="40" w:line="264" w:lineRule="auto"/>
            </w:pPr>
            <w:r>
              <w:rPr>
                <w:rFonts w:ascii="Calibri" w:hAnsi="Calibri" w:eastAsia="等线"/>
                <w:sz w:val="19"/>
              </w:rPr>
              <w:t>体现跨域泛化、需求变更、节点失效和自治交付</w:t>
            </w:r>
          </w:p>
        </w:tc>
      </w:tr>
    </w:tbl>
    <w:p>
      <w:pPr>
        <w:spacing w:after="0"/>
      </w:pPr>
    </w:p>
    <w:p>
      <w:pPr>
        <w:pStyle w:val="Heading1"/>
      </w:pPr>
      <w:r>
        <w:t>3. 总体技术架构</w:t>
      </w:r>
    </w:p>
    <w:p>
      <w:r>
        <w:t>系统由控制平面、异构执行平面、分层记忆平面、端边云资源平面和可观测/评测平面组成。控制平面只保存全局目标、约束、里程碑和验收状态；具体任务按需下沉给不同能力与不同部署位置的执行节点。</w:t>
      </w:r>
    </w:p>
    <w:tbl>
      <w:tblPr>
        <w:tblStyle w:val="TableGrid"/>
        <w:tblW w:type="dxa" w:w="9360"/>
        <w:jc w:val="left"/>
        <w:tblLayout w:type="fixed"/>
        <w:tblLook w:firstColumn="1" w:firstRow="1" w:lastColumn="0" w:lastRow="0" w:noHBand="0" w:noVBand="1" w:val="04A0"/>
        <w:tblInd w:w="120" w:type="dxa"/>
      </w:tblPr>
      <w:tblGrid>
        <w:gridCol w:w="1700"/>
        <w:gridCol w:w="3500"/>
        <w:gridCol w:w="4160"/>
      </w:tblGrid>
      <w:tr>
        <w:trPr>
          <w:tblHeader/>
          <w:cantSplit/>
        </w:trPr>
        <w:tc>
          <w:tcPr>
            <w:tcW w:type="dxa" w:w="17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平面</w:t>
            </w:r>
          </w:p>
        </w:tc>
        <w:tc>
          <w:tcPr>
            <w:tcW w:type="dxa" w:w="35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核心组件</w:t>
            </w:r>
          </w:p>
        </w:tc>
        <w:tc>
          <w:tcPr>
            <w:tcW w:type="dxa" w:w="416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职责</w:t>
            </w:r>
          </w:p>
        </w:tc>
      </w:tr>
      <w:tr>
        <w:trPr>
          <w:cantSplit/>
        </w:trPr>
        <w:tc>
          <w:tcPr>
            <w:tcW w:type="dxa" w:w="1700"/>
            <w:tcMar>
              <w:top w:w="80" w:type="dxa"/>
              <w:start w:w="120" w:type="dxa"/>
              <w:bottom w:w="80" w:type="dxa"/>
              <w:end w:w="120" w:type="dxa"/>
            </w:tcMar>
            <w:vAlign w:val="center"/>
          </w:tcPr>
          <w:p>
            <w:pPr>
              <w:spacing w:after="40" w:line="264" w:lineRule="auto"/>
              <w:jc w:val="center"/>
            </w:pPr>
            <w:r>
              <w:rPr>
                <w:rFonts w:ascii="Calibri" w:hAnsi="Calibri" w:eastAsia="等线"/>
                <w:sz w:val="19"/>
              </w:rPr>
              <w:t>控制平面</w:t>
            </w:r>
          </w:p>
        </w:tc>
        <w:tc>
          <w:tcPr>
            <w:tcW w:type="dxa" w:w="3500"/>
            <w:tcMar>
              <w:top w:w="80" w:type="dxa"/>
              <w:start w:w="120" w:type="dxa"/>
              <w:bottom w:w="80" w:type="dxa"/>
              <w:end w:w="120" w:type="dxa"/>
            </w:tcMar>
            <w:vAlign w:val="center"/>
          </w:tcPr>
          <w:p>
            <w:pPr>
              <w:spacing w:after="40" w:line="264" w:lineRule="auto"/>
            </w:pPr>
            <w:r>
              <w:rPr>
                <w:rFonts w:ascii="Calibri" w:hAnsi="Calibri" w:eastAsia="等线"/>
                <w:sz w:val="19"/>
              </w:rPr>
              <w:t>Intent Parser、Hierarchical Planner、Dynamic Router、Supervisor、Verifier</w:t>
            </w:r>
          </w:p>
        </w:tc>
        <w:tc>
          <w:tcPr>
            <w:tcW w:type="dxa" w:w="4160"/>
            <w:tcMar>
              <w:top w:w="80" w:type="dxa"/>
              <w:start w:w="120" w:type="dxa"/>
              <w:bottom w:w="80" w:type="dxa"/>
              <w:end w:w="120" w:type="dxa"/>
            </w:tcMar>
            <w:vAlign w:val="center"/>
          </w:tcPr>
          <w:p>
            <w:pPr>
              <w:spacing w:after="40" w:line="264" w:lineRule="auto"/>
            </w:pPr>
            <w:r>
              <w:rPr>
                <w:rFonts w:ascii="Calibri" w:hAnsi="Calibri" w:eastAsia="等线"/>
                <w:sz w:val="19"/>
              </w:rPr>
              <w:t>意图解析、DAG 规划、动态组队、质量门禁和局部重规划</w:t>
            </w:r>
          </w:p>
        </w:tc>
      </w:tr>
      <w:tr>
        <w:trPr>
          <w:cantSplit/>
        </w:trPr>
        <w:tc>
          <w:tcPr>
            <w:tcW w:type="dxa" w:w="1700"/>
            <w:tcMar>
              <w:top w:w="80" w:type="dxa"/>
              <w:start w:w="120" w:type="dxa"/>
              <w:bottom w:w="80" w:type="dxa"/>
              <w:end w:w="120" w:type="dxa"/>
            </w:tcMar>
            <w:vAlign w:val="center"/>
          </w:tcPr>
          <w:p>
            <w:pPr>
              <w:spacing w:after="40" w:line="264" w:lineRule="auto"/>
              <w:jc w:val="center"/>
            </w:pPr>
            <w:r>
              <w:rPr>
                <w:rFonts w:ascii="Calibri" w:hAnsi="Calibri" w:eastAsia="等线"/>
                <w:sz w:val="19"/>
              </w:rPr>
              <w:t>执行平面</w:t>
            </w:r>
          </w:p>
        </w:tc>
        <w:tc>
          <w:tcPr>
            <w:tcW w:type="dxa" w:w="3500"/>
            <w:tcMar>
              <w:top w:w="80" w:type="dxa"/>
              <w:start w:w="120" w:type="dxa"/>
              <w:bottom w:w="80" w:type="dxa"/>
              <w:end w:w="120" w:type="dxa"/>
            </w:tcMar>
            <w:vAlign w:val="center"/>
          </w:tcPr>
          <w:p>
            <w:pPr>
              <w:spacing w:after="40" w:line="264" w:lineRule="auto"/>
            </w:pPr>
            <w:r>
              <w:rPr>
                <w:rFonts w:ascii="Calibri" w:hAnsi="Calibri" w:eastAsia="等线"/>
                <w:sz w:val="19"/>
              </w:rPr>
              <w:t>检索、编码、实验、分析、评审、安全等异构 Agent</w:t>
            </w:r>
          </w:p>
        </w:tc>
        <w:tc>
          <w:tcPr>
            <w:tcW w:type="dxa" w:w="4160"/>
            <w:tcMar>
              <w:top w:w="80" w:type="dxa"/>
              <w:start w:w="120" w:type="dxa"/>
              <w:bottom w:w="80" w:type="dxa"/>
              <w:end w:w="120" w:type="dxa"/>
            </w:tcMar>
            <w:vAlign w:val="center"/>
          </w:tcPr>
          <w:p>
            <w:pPr>
              <w:spacing w:after="40" w:line="264" w:lineRule="auto"/>
            </w:pPr>
            <w:r>
              <w:rPr>
                <w:rFonts w:ascii="Calibri" w:hAnsi="Calibri" w:eastAsia="等线"/>
                <w:sz w:val="19"/>
              </w:rPr>
              <w:t>声明能力、成本、延迟、可信度、工具和部署位置并执行子任务</w:t>
            </w:r>
          </w:p>
        </w:tc>
      </w:tr>
      <w:tr>
        <w:trPr>
          <w:cantSplit/>
        </w:trPr>
        <w:tc>
          <w:tcPr>
            <w:tcW w:type="dxa" w:w="1700"/>
            <w:tcMar>
              <w:top w:w="80" w:type="dxa"/>
              <w:start w:w="120" w:type="dxa"/>
              <w:bottom w:w="80" w:type="dxa"/>
              <w:end w:w="120" w:type="dxa"/>
            </w:tcMar>
            <w:vAlign w:val="center"/>
          </w:tcPr>
          <w:p>
            <w:pPr>
              <w:spacing w:after="40" w:line="264" w:lineRule="auto"/>
              <w:jc w:val="center"/>
            </w:pPr>
            <w:r>
              <w:rPr>
                <w:rFonts w:ascii="Calibri" w:hAnsi="Calibri" w:eastAsia="等线"/>
                <w:sz w:val="19"/>
              </w:rPr>
              <w:t>记忆平面</w:t>
            </w:r>
          </w:p>
        </w:tc>
        <w:tc>
          <w:tcPr>
            <w:tcW w:type="dxa" w:w="3500"/>
            <w:tcMar>
              <w:top w:w="80" w:type="dxa"/>
              <w:start w:w="120" w:type="dxa"/>
              <w:bottom w:w="80" w:type="dxa"/>
              <w:end w:w="120" w:type="dxa"/>
            </w:tcMar>
            <w:vAlign w:val="center"/>
          </w:tcPr>
          <w:p>
            <w:pPr>
              <w:spacing w:after="40" w:line="264" w:lineRule="auto"/>
            </w:pPr>
            <w:r>
              <w:rPr>
                <w:rFonts w:ascii="Calibri" w:hAnsi="Calibri" w:eastAsia="等线"/>
                <w:sz w:val="19"/>
              </w:rPr>
              <w:t>工作记忆、情景记忆、语义记忆、全局黑板</w:t>
            </w:r>
          </w:p>
        </w:tc>
        <w:tc>
          <w:tcPr>
            <w:tcW w:type="dxa" w:w="4160"/>
            <w:tcMar>
              <w:top w:w="80" w:type="dxa"/>
              <w:start w:w="120" w:type="dxa"/>
              <w:bottom w:w="80" w:type="dxa"/>
              <w:end w:w="120" w:type="dxa"/>
            </w:tcMar>
            <w:vAlign w:val="center"/>
          </w:tcPr>
          <w:p>
            <w:pPr>
              <w:spacing w:after="40" w:line="264" w:lineRule="auto"/>
            </w:pPr>
            <w:r>
              <w:rPr>
                <w:rFonts w:ascii="Calibri" w:hAnsi="Calibri" w:eastAsia="等线"/>
                <w:sz w:val="19"/>
              </w:rPr>
              <w:t>压缩、唤醒、证据追溯、约束保持和目标漂移检测</w:t>
            </w:r>
          </w:p>
        </w:tc>
      </w:tr>
      <w:tr>
        <w:trPr>
          <w:cantSplit/>
        </w:trPr>
        <w:tc>
          <w:tcPr>
            <w:tcW w:type="dxa" w:w="1700"/>
            <w:tcMar>
              <w:top w:w="80" w:type="dxa"/>
              <w:start w:w="120" w:type="dxa"/>
              <w:bottom w:w="80" w:type="dxa"/>
              <w:end w:w="120" w:type="dxa"/>
            </w:tcMar>
            <w:vAlign w:val="center"/>
          </w:tcPr>
          <w:p>
            <w:pPr>
              <w:spacing w:after="40" w:line="264" w:lineRule="auto"/>
              <w:jc w:val="center"/>
            </w:pPr>
            <w:r>
              <w:rPr>
                <w:rFonts w:ascii="Calibri" w:hAnsi="Calibri" w:eastAsia="等线"/>
                <w:sz w:val="19"/>
              </w:rPr>
              <w:t>资源平面</w:t>
            </w:r>
          </w:p>
        </w:tc>
        <w:tc>
          <w:tcPr>
            <w:tcW w:type="dxa" w:w="3500"/>
            <w:tcMar>
              <w:top w:w="80" w:type="dxa"/>
              <w:start w:w="120" w:type="dxa"/>
              <w:bottom w:w="80" w:type="dxa"/>
              <w:end w:w="120" w:type="dxa"/>
            </w:tcMar>
            <w:vAlign w:val="center"/>
          </w:tcPr>
          <w:p>
            <w:pPr>
              <w:spacing w:after="40" w:line="264" w:lineRule="auto"/>
            </w:pPr>
            <w:r>
              <w:rPr>
                <w:rFonts w:ascii="Calibri" w:hAnsi="Calibri" w:eastAsia="等线"/>
                <w:sz w:val="19"/>
              </w:rPr>
              <w:t>终端节点、边缘节点、云端节点、Placement Scheduler</w:t>
            </w:r>
          </w:p>
        </w:tc>
        <w:tc>
          <w:tcPr>
            <w:tcW w:type="dxa" w:w="4160"/>
            <w:tcMar>
              <w:top w:w="80" w:type="dxa"/>
              <w:start w:w="120" w:type="dxa"/>
              <w:bottom w:w="80" w:type="dxa"/>
              <w:end w:w="120" w:type="dxa"/>
            </w:tcMar>
            <w:vAlign w:val="center"/>
          </w:tcPr>
          <w:p>
            <w:pPr>
              <w:spacing w:after="40" w:line="264" w:lineRule="auto"/>
            </w:pPr>
            <w:r>
              <w:rPr>
                <w:rFonts w:ascii="Calibri" w:hAnsi="Calibri" w:eastAsia="等线"/>
                <w:sz w:val="19"/>
              </w:rPr>
              <w:t>依任务复杂度、时延、隐私、成本和健康状态选址与迁移</w:t>
            </w:r>
          </w:p>
        </w:tc>
      </w:tr>
      <w:tr>
        <w:trPr>
          <w:cantSplit/>
        </w:trPr>
        <w:tc>
          <w:tcPr>
            <w:tcW w:type="dxa" w:w="1700"/>
            <w:tcMar>
              <w:top w:w="80" w:type="dxa"/>
              <w:start w:w="120" w:type="dxa"/>
              <w:bottom w:w="80" w:type="dxa"/>
              <w:end w:w="120" w:type="dxa"/>
            </w:tcMar>
            <w:vAlign w:val="center"/>
          </w:tcPr>
          <w:p>
            <w:pPr>
              <w:spacing w:after="40" w:line="264" w:lineRule="auto"/>
              <w:jc w:val="center"/>
            </w:pPr>
            <w:r>
              <w:rPr>
                <w:rFonts w:ascii="Calibri" w:hAnsi="Calibri" w:eastAsia="等线"/>
                <w:sz w:val="19"/>
              </w:rPr>
              <w:t>可观测平面</w:t>
            </w:r>
          </w:p>
        </w:tc>
        <w:tc>
          <w:tcPr>
            <w:tcW w:type="dxa" w:w="3500"/>
            <w:tcMar>
              <w:top w:w="80" w:type="dxa"/>
              <w:start w:w="120" w:type="dxa"/>
              <w:bottom w:w="80" w:type="dxa"/>
              <w:end w:w="120" w:type="dxa"/>
            </w:tcMar>
            <w:vAlign w:val="center"/>
          </w:tcPr>
          <w:p>
            <w:pPr>
              <w:spacing w:after="40" w:line="264" w:lineRule="auto"/>
            </w:pPr>
            <w:r>
              <w:rPr>
                <w:rFonts w:ascii="Calibri" w:hAnsi="Calibri" w:eastAsia="等线"/>
                <w:sz w:val="19"/>
              </w:rPr>
              <w:t>Trace、指标、拓扑图、回放、故障注入</w:t>
            </w:r>
          </w:p>
        </w:tc>
        <w:tc>
          <w:tcPr>
            <w:tcW w:type="dxa" w:w="4160"/>
            <w:tcMar>
              <w:top w:w="80" w:type="dxa"/>
              <w:start w:w="120" w:type="dxa"/>
              <w:bottom w:w="80" w:type="dxa"/>
              <w:end w:w="120" w:type="dxa"/>
            </w:tcMar>
            <w:vAlign w:val="center"/>
          </w:tcPr>
          <w:p>
            <w:pPr>
              <w:spacing w:after="40" w:line="264" w:lineRule="auto"/>
            </w:pPr>
            <w:r>
              <w:rPr>
                <w:rFonts w:ascii="Calibri" w:hAnsi="Calibri" w:eastAsia="等线"/>
                <w:sz w:val="19"/>
              </w:rPr>
              <w:t>完整展示决策过程并支撑基线、消融、鲁棒性与效率实验</w:t>
            </w:r>
          </w:p>
        </w:tc>
      </w:tr>
    </w:tbl>
    <w:p>
      <w:pPr>
        <w:spacing w:after="0"/>
      </w:pPr>
    </w:p>
    <w:p>
      <w:pPr>
        <w:pStyle w:val="Heading1"/>
      </w:pPr>
      <w:r>
        <w:t>4. 端—边—云协同专项设计</w:t>
      </w:r>
    </w:p>
    <w:p>
      <w:pPr>
        <w:spacing w:before="80" w:after="160"/>
        <w:ind w:left="115" w:right="115"/>
        <w:shd w:fill="EAF2F8"/>
        <w:pBdr>
          <w:left w:val="single" w:sz="18" w:space="8" w:color="2E74B5"/>
        </w:pBdr>
      </w:pPr>
      <w:r>
        <w:rPr>
          <w:b/>
          <w:color w:val="1F4D78"/>
        </w:rPr>
        <w:t>为什么必须突出：</w:t>
      </w:r>
      <w:r>
        <w:t>赛题明确要求系统依据子任务实时性和数据敏感等级自动选择推理位置与模型切分，并充分利用云端算力处理高复杂度子任务。该能力不能只停留在部署描述，必须由调度算法、故障迁移和对照实验共同证明。</w:t>
      </w:r>
    </w:p>
    <w:p>
      <w:pPr>
        <w:pStyle w:val="Heading2"/>
      </w:pPr>
      <w:r>
        <w:t>4.1 三层职责划分</w:t>
      </w:r>
    </w:p>
    <w:tbl>
      <w:tblPr>
        <w:tblStyle w:val="TableGrid"/>
        <w:tblW w:type="dxa" w:w="9360"/>
        <w:jc w:val="left"/>
        <w:tblLayout w:type="fixed"/>
        <w:tblLook w:firstColumn="1" w:firstRow="1" w:lastColumn="0" w:lastRow="0" w:noHBand="0" w:noVBand="1" w:val="04A0"/>
        <w:tblInd w:w="120" w:type="dxa"/>
      </w:tblPr>
      <w:tblGrid>
        <w:gridCol w:w="1500"/>
        <w:gridCol w:w="3500"/>
        <w:gridCol w:w="2600"/>
        <w:gridCol w:w="1760"/>
      </w:tblGrid>
      <w:tr>
        <w:trPr>
          <w:tblHeader/>
          <w:cantSplit/>
        </w:trPr>
        <w:tc>
          <w:tcPr>
            <w:tcW w:type="dxa" w:w="15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层级</w:t>
            </w:r>
          </w:p>
        </w:tc>
        <w:tc>
          <w:tcPr>
            <w:tcW w:type="dxa" w:w="35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适合任务</w:t>
            </w:r>
          </w:p>
        </w:tc>
        <w:tc>
          <w:tcPr>
            <w:tcW w:type="dxa" w:w="26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模型/组件</w:t>
            </w:r>
          </w:p>
        </w:tc>
        <w:tc>
          <w:tcPr>
            <w:tcW w:type="dxa" w:w="176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关键约束</w:t>
            </w:r>
          </w:p>
        </w:tc>
      </w:tr>
      <w:tr>
        <w:trPr>
          <w:cantSplit/>
        </w:trPr>
        <w:tc>
          <w:tcPr>
            <w:tcW w:type="dxa" w:w="1500"/>
            <w:tcMar>
              <w:top w:w="80" w:type="dxa"/>
              <w:start w:w="120" w:type="dxa"/>
              <w:bottom w:w="80" w:type="dxa"/>
              <w:end w:w="120" w:type="dxa"/>
            </w:tcMar>
            <w:vAlign w:val="center"/>
          </w:tcPr>
          <w:p>
            <w:pPr>
              <w:spacing w:after="40" w:line="264" w:lineRule="auto"/>
              <w:jc w:val="center"/>
            </w:pPr>
            <w:r>
              <w:rPr>
                <w:rFonts w:ascii="Calibri" w:hAnsi="Calibri" w:eastAsia="等线"/>
                <w:sz w:val="19"/>
              </w:rPr>
              <w:t>终端（Device）</w:t>
            </w:r>
          </w:p>
        </w:tc>
        <w:tc>
          <w:tcPr>
            <w:tcW w:type="dxa" w:w="3500"/>
            <w:tcMar>
              <w:top w:w="80" w:type="dxa"/>
              <w:start w:w="120" w:type="dxa"/>
              <w:bottom w:w="80" w:type="dxa"/>
              <w:end w:w="120" w:type="dxa"/>
            </w:tcMar>
            <w:vAlign w:val="center"/>
          </w:tcPr>
          <w:p>
            <w:pPr>
              <w:spacing w:after="40" w:line="264" w:lineRule="auto"/>
            </w:pPr>
            <w:r>
              <w:rPr>
                <w:rFonts w:ascii="Calibri" w:hAnsi="Calibri" w:eastAsia="等线"/>
                <w:sz w:val="19"/>
              </w:rPr>
              <w:t>敏感数据预处理、规则检查、轻量意图识别、即时工具执行、离线缓存</w:t>
            </w:r>
          </w:p>
        </w:tc>
        <w:tc>
          <w:tcPr>
            <w:tcW w:type="dxa" w:w="2600"/>
            <w:tcMar>
              <w:top w:w="80" w:type="dxa"/>
              <w:start w:w="120" w:type="dxa"/>
              <w:bottom w:w="80" w:type="dxa"/>
              <w:end w:w="120" w:type="dxa"/>
            </w:tcMar>
            <w:vAlign w:val="center"/>
          </w:tcPr>
          <w:p>
            <w:pPr>
              <w:spacing w:after="40" w:line="264" w:lineRule="auto"/>
            </w:pPr>
            <w:r>
              <w:rPr>
                <w:rFonts w:ascii="Calibri" w:hAnsi="Calibri" w:eastAsia="等线"/>
                <w:sz w:val="19"/>
              </w:rPr>
              <w:t>本地小模型、规则引擎、加密缓存、工具代理</w:t>
            </w:r>
          </w:p>
        </w:tc>
        <w:tc>
          <w:tcPr>
            <w:tcW w:type="dxa" w:w="1760"/>
            <w:tcMar>
              <w:top w:w="80" w:type="dxa"/>
              <w:start w:w="120" w:type="dxa"/>
              <w:bottom w:w="80" w:type="dxa"/>
              <w:end w:w="120" w:type="dxa"/>
            </w:tcMar>
            <w:vAlign w:val="center"/>
          </w:tcPr>
          <w:p>
            <w:pPr>
              <w:spacing w:after="40" w:line="264" w:lineRule="auto"/>
            </w:pPr>
            <w:r>
              <w:rPr>
                <w:rFonts w:ascii="Calibri" w:hAnsi="Calibri" w:eastAsia="等线"/>
                <w:sz w:val="19"/>
              </w:rPr>
              <w:t>低时延、隐私优先、算力/能耗受限、可能离线</w:t>
            </w:r>
          </w:p>
        </w:tc>
      </w:tr>
      <w:tr>
        <w:trPr>
          <w:cantSplit/>
        </w:trPr>
        <w:tc>
          <w:tcPr>
            <w:tcW w:type="dxa" w:w="1500"/>
            <w:tcMar>
              <w:top w:w="80" w:type="dxa"/>
              <w:start w:w="120" w:type="dxa"/>
              <w:bottom w:w="80" w:type="dxa"/>
              <w:end w:w="120" w:type="dxa"/>
            </w:tcMar>
            <w:vAlign w:val="center"/>
          </w:tcPr>
          <w:p>
            <w:pPr>
              <w:spacing w:after="40" w:line="264" w:lineRule="auto"/>
              <w:jc w:val="center"/>
            </w:pPr>
            <w:r>
              <w:rPr>
                <w:rFonts w:ascii="Calibri" w:hAnsi="Calibri" w:eastAsia="等线"/>
                <w:sz w:val="19"/>
              </w:rPr>
              <w:t>边缘（Edge）</w:t>
            </w:r>
          </w:p>
        </w:tc>
        <w:tc>
          <w:tcPr>
            <w:tcW w:type="dxa" w:w="3500"/>
            <w:tcMar>
              <w:top w:w="80" w:type="dxa"/>
              <w:start w:w="120" w:type="dxa"/>
              <w:bottom w:w="80" w:type="dxa"/>
              <w:end w:w="120" w:type="dxa"/>
            </w:tcMar>
            <w:vAlign w:val="center"/>
          </w:tcPr>
          <w:p>
            <w:pPr>
              <w:spacing w:after="40" w:line="264" w:lineRule="auto"/>
            </w:pPr>
            <w:r>
              <w:rPr>
                <w:rFonts w:ascii="Calibri" w:hAnsi="Calibri" w:eastAsia="等线"/>
                <w:sz w:val="19"/>
              </w:rPr>
              <w:t>多端请求聚合、检索缓存、上下文压缩、轻量协调、局部记忆和模型网关</w:t>
            </w:r>
          </w:p>
        </w:tc>
        <w:tc>
          <w:tcPr>
            <w:tcW w:type="dxa" w:w="2600"/>
            <w:tcMar>
              <w:top w:w="80" w:type="dxa"/>
              <w:start w:w="120" w:type="dxa"/>
              <w:bottom w:w="80" w:type="dxa"/>
              <w:end w:w="120" w:type="dxa"/>
            </w:tcMar>
            <w:vAlign w:val="center"/>
          </w:tcPr>
          <w:p>
            <w:pPr>
              <w:spacing w:after="40" w:line="264" w:lineRule="auto"/>
            </w:pPr>
            <w:r>
              <w:rPr>
                <w:rFonts w:ascii="Calibri" w:hAnsi="Calibri" w:eastAsia="等线"/>
                <w:sz w:val="19"/>
              </w:rPr>
              <w:t>量化模型、向量库、缓存、Edge Supervisor</w:t>
            </w:r>
          </w:p>
        </w:tc>
        <w:tc>
          <w:tcPr>
            <w:tcW w:type="dxa" w:w="1760"/>
            <w:tcMar>
              <w:top w:w="80" w:type="dxa"/>
              <w:start w:w="120" w:type="dxa"/>
              <w:bottom w:w="80" w:type="dxa"/>
              <w:end w:w="120" w:type="dxa"/>
            </w:tcMar>
            <w:vAlign w:val="center"/>
          </w:tcPr>
          <w:p>
            <w:pPr>
              <w:spacing w:after="40" w:line="264" w:lineRule="auto"/>
            </w:pPr>
            <w:r>
              <w:rPr>
                <w:rFonts w:ascii="Calibri" w:hAnsi="Calibri" w:eastAsia="等线"/>
                <w:sz w:val="19"/>
              </w:rPr>
              <w:t>区域级算力、网络波动、容量有限、靠近数据源</w:t>
            </w:r>
          </w:p>
        </w:tc>
      </w:tr>
      <w:tr>
        <w:trPr>
          <w:cantSplit/>
        </w:trPr>
        <w:tc>
          <w:tcPr>
            <w:tcW w:type="dxa" w:w="1500"/>
            <w:tcMar>
              <w:top w:w="80" w:type="dxa"/>
              <w:start w:w="120" w:type="dxa"/>
              <w:bottom w:w="80" w:type="dxa"/>
              <w:end w:w="120" w:type="dxa"/>
            </w:tcMar>
            <w:vAlign w:val="center"/>
          </w:tcPr>
          <w:p>
            <w:pPr>
              <w:spacing w:after="40" w:line="264" w:lineRule="auto"/>
              <w:jc w:val="center"/>
            </w:pPr>
            <w:r>
              <w:rPr>
                <w:rFonts w:ascii="Calibri" w:hAnsi="Calibri" w:eastAsia="等线"/>
                <w:sz w:val="19"/>
              </w:rPr>
              <w:t>云端（Cloud）</w:t>
            </w:r>
          </w:p>
        </w:tc>
        <w:tc>
          <w:tcPr>
            <w:tcW w:type="dxa" w:w="3500"/>
            <w:tcMar>
              <w:top w:w="80" w:type="dxa"/>
              <w:start w:w="120" w:type="dxa"/>
              <w:bottom w:w="80" w:type="dxa"/>
              <w:end w:w="120" w:type="dxa"/>
            </w:tcMar>
            <w:vAlign w:val="center"/>
          </w:tcPr>
          <w:p>
            <w:pPr>
              <w:spacing w:after="40" w:line="264" w:lineRule="auto"/>
            </w:pPr>
            <w:r>
              <w:rPr>
                <w:rFonts w:ascii="Calibri" w:hAnsi="Calibri" w:eastAsia="等线"/>
                <w:sz w:val="19"/>
              </w:rPr>
              <w:t>全局规划、复杂推理、代码生成、大规模检索/实验、跨节点验证</w:t>
            </w:r>
          </w:p>
        </w:tc>
        <w:tc>
          <w:tcPr>
            <w:tcW w:type="dxa" w:w="2600"/>
            <w:tcMar>
              <w:top w:w="80" w:type="dxa"/>
              <w:start w:w="120" w:type="dxa"/>
              <w:bottom w:w="80" w:type="dxa"/>
              <w:end w:w="120" w:type="dxa"/>
            </w:tcMar>
            <w:vAlign w:val="center"/>
          </w:tcPr>
          <w:p>
            <w:pPr>
              <w:spacing w:after="40" w:line="264" w:lineRule="auto"/>
            </w:pPr>
            <w:r>
              <w:rPr>
                <w:rFonts w:ascii="Calibri" w:hAnsi="Calibri" w:eastAsia="等线"/>
                <w:sz w:val="19"/>
              </w:rPr>
              <w:t>强模型、全局记忆、Planner、Verifier、实验集群</w:t>
            </w:r>
          </w:p>
        </w:tc>
        <w:tc>
          <w:tcPr>
            <w:tcW w:type="dxa" w:w="1760"/>
            <w:tcMar>
              <w:top w:w="80" w:type="dxa"/>
              <w:start w:w="120" w:type="dxa"/>
              <w:bottom w:w="80" w:type="dxa"/>
              <w:end w:w="120" w:type="dxa"/>
            </w:tcMar>
            <w:vAlign w:val="center"/>
          </w:tcPr>
          <w:p>
            <w:pPr>
              <w:spacing w:after="40" w:line="264" w:lineRule="auto"/>
            </w:pPr>
            <w:r>
              <w:rPr>
                <w:rFonts w:ascii="Calibri" w:hAnsi="Calibri" w:eastAsia="等线"/>
                <w:sz w:val="19"/>
              </w:rPr>
              <w:t>能力最强但成本、时延和隐私风险较高</w:t>
            </w:r>
          </w:p>
        </w:tc>
      </w:tr>
    </w:tbl>
    <w:p>
      <w:pPr>
        <w:spacing w:after="0"/>
      </w:pPr>
    </w:p>
    <w:p>
      <w:pPr>
        <w:pStyle w:val="Heading2"/>
      </w:pPr>
      <w:r>
        <w:t>4.2 任务与资源描述</w:t>
      </w:r>
    </w:p>
    <w:p>
      <w:r>
        <w:t>每个子任务携带统一资源描述：复杂度 C、截止时间/实时性 L、数据敏感度 P、预计 Token/算力成本 K、所需能力集合 A、可靠性要求 R。每个节点声明能力、模型质量、当前负载、平均时延、单位成本、隐私等级、健康状态和可用工具。</w:t>
      </w:r>
    </w:p>
    <w:p>
      <w:r>
        <w:t>可解释的初版调度评分函数为：</w:t>
      </w:r>
    </w:p>
    <w:p>
      <w:pPr>
        <w:jc w:val="center"/>
      </w:pPr>
      <w:r>
        <w:rPr>
          <w:b/>
          <w:color w:val="1F4D78"/>
        </w:rPr>
        <w:t>Score(task, node) = w₁·能力匹配 + w₂·质量收益 + w₃·可靠性 − w₄·时延 − w₅·成本 − w₆·隐私风险 − w₇·迁移开销</w:t>
      </w:r>
    </w:p>
    <w:p>
      <w:r>
        <w:t>调度器先执行硬约束过滤，例如“高敏数据不得离端”“必须在 2 秒内响应”“必须具备代码执行沙箱”，再对候选节点打分。这样既可解释、易调试，也便于形成算法伪代码和复杂度分析。后期如时间允许，再使用 contextual bandit 学习权重。</w:t>
      </w:r>
    </w:p>
    <w:p>
      <w:pPr>
        <w:pStyle w:val="Heading2"/>
      </w:pPr>
      <w:r>
        <w:t>4.3 调度流程</w:t>
      </w:r>
    </w:p>
    <w:p>
      <w:pPr>
        <w:pStyle w:val="ListNumber"/>
      </w:pPr>
      <w:r>
        <w:t>Planner 生成子任务并标记复杂度、实时性、敏感度、预算、能力和可靠性要求。</w:t>
      </w:r>
    </w:p>
    <w:p>
      <w:pPr>
        <w:pStyle w:val="ListNumber"/>
      </w:pPr>
      <w:r>
        <w:t>Placement Scheduler 读取端、边、云节点的能力、负载、健康状态与历史质量。</w:t>
      </w:r>
    </w:p>
    <w:p>
      <w:pPr>
        <w:pStyle w:val="ListNumber"/>
      </w:pPr>
      <w:r>
        <w:t>先按隐私、截止时间和工具依赖进行硬过滤，再计算候选节点综合分数。</w:t>
      </w:r>
    </w:p>
    <w:p>
      <w:pPr>
        <w:pStyle w:val="ListNumber"/>
      </w:pPr>
      <w:r>
        <w:t>选择主节点和必要的备用节点；只传输最小必要上下文与 artifact 引用。</w:t>
      </w:r>
    </w:p>
    <w:p>
      <w:pPr>
        <w:pStyle w:val="ListNumber"/>
      </w:pPr>
      <w:r>
        <w:t>执行中持续监测延时、Token、错误率和节点健康，触发降级、迁移或重规划。</w:t>
      </w:r>
    </w:p>
    <w:p>
      <w:pPr>
        <w:pStyle w:val="ListNumber"/>
      </w:pPr>
      <w:r>
        <w:t>Verifier 在目标节点或异地节点复核结果，状态写入事件日志并更新调度统计。</w:t>
      </w:r>
    </w:p>
    <w:p>
      <w:pPr>
        <w:pStyle w:val="Heading2"/>
      </w:pPr>
      <w:r>
        <w:t>4.4 模型选择与切分策略</w:t>
      </w:r>
    </w:p>
    <w:p>
      <w:pPr>
        <w:pStyle w:val="ListBullet"/>
      </w:pPr>
      <w:r>
        <w:t>请求级选择：完整子任务在本地小模型、边缘模型或云端强模型之间切换，是 9 月前最可实现的主方案。</w:t>
      </w:r>
    </w:p>
    <w:p>
      <w:pPr>
        <w:pStyle w:val="ListBullet"/>
      </w:pPr>
      <w:r>
        <w:t>流水线切分：端侧完成脱敏/特征提取，边缘完成检索与压缩，云端只接收最小必要上下文并完成复杂推理。</w:t>
      </w:r>
    </w:p>
    <w:p>
      <w:pPr>
        <w:pStyle w:val="ListBullet"/>
      </w:pPr>
      <w:r>
        <w:t>推测式协同（可选）：端/边小模型生成候选或草稿，云端强模型验证与修正，以降低首 Token 延迟和云端 Token。</w:t>
      </w:r>
    </w:p>
    <w:p>
      <w:pPr>
        <w:pStyle w:val="ListBullet"/>
      </w:pPr>
      <w:r>
        <w:t>神经网络层级切分（Stretch）：真实端侧设备和推理框架具备条件时再验证，不把它设为 MVP 依赖。</w:t>
      </w:r>
    </w:p>
    <w:p>
      <w:pPr>
        <w:pStyle w:val="Heading2"/>
      </w:pPr>
      <w:r>
        <w:t>4.5 隐私与数据流</w:t>
      </w:r>
    </w:p>
    <w:p>
      <w:r>
        <w:t>端侧先进行数据分类和脱敏，原始高敏数据不离端；边缘只保存区域级缓存、向量索引和带 TTL 的情景记忆；云端接收经过最小化、脱敏和证据引用化的上下文。所有跨层消息带 task_id、敏感等级、允许的 placement、TTL、预算和证据引用，形成可审计的数据流。</w:t>
      </w:r>
    </w:p>
    <w:p>
      <w:pPr>
        <w:pStyle w:val="Heading2"/>
      </w:pPr>
      <w:r>
        <w:t>4.6 故障迁移与降级路径</w:t>
      </w:r>
    </w:p>
    <w:tbl>
      <w:tblPr>
        <w:tblStyle w:val="TableGrid"/>
        <w:tblW w:type="dxa" w:w="9360"/>
        <w:jc w:val="left"/>
        <w:tblLayout w:type="fixed"/>
        <w:tblLook w:firstColumn="1" w:firstRow="1" w:lastColumn="0" w:lastRow="0" w:noHBand="0" w:noVBand="1" w:val="04A0"/>
        <w:tblInd w:w="120" w:type="dxa"/>
      </w:tblPr>
      <w:tblGrid>
        <w:gridCol w:w="1900"/>
        <w:gridCol w:w="4860"/>
        <w:gridCol w:w="2600"/>
      </w:tblGrid>
      <w:tr>
        <w:trPr>
          <w:tblHeader/>
          <w:cantSplit/>
        </w:trPr>
        <w:tc>
          <w:tcPr>
            <w:tcW w:type="dxa" w:w="19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异常</w:t>
            </w:r>
          </w:p>
        </w:tc>
        <w:tc>
          <w:tcPr>
            <w:tcW w:type="dxa" w:w="486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自动策略</w:t>
            </w:r>
          </w:p>
        </w:tc>
        <w:tc>
          <w:tcPr>
            <w:tcW w:type="dxa" w:w="26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预期证据</w:t>
            </w:r>
          </w:p>
        </w:tc>
      </w:tr>
      <w:tr>
        <w:trPr>
          <w:cantSplit/>
        </w:trPr>
        <w:tc>
          <w:tcPr>
            <w:tcW w:type="dxa" w:w="1900"/>
            <w:tcMar>
              <w:top w:w="80" w:type="dxa"/>
              <w:start w:w="120" w:type="dxa"/>
              <w:bottom w:w="80" w:type="dxa"/>
              <w:end w:w="120" w:type="dxa"/>
            </w:tcMar>
            <w:vAlign w:val="center"/>
          </w:tcPr>
          <w:p>
            <w:pPr>
              <w:spacing w:after="40" w:line="264" w:lineRule="auto"/>
              <w:jc w:val="center"/>
            </w:pPr>
            <w:r>
              <w:rPr>
                <w:rFonts w:ascii="Calibri" w:hAnsi="Calibri" w:eastAsia="等线"/>
                <w:sz w:val="19"/>
              </w:rPr>
              <w:t>云模型超时/限流</w:t>
            </w:r>
          </w:p>
        </w:tc>
        <w:tc>
          <w:tcPr>
            <w:tcW w:type="dxa" w:w="4860"/>
            <w:tcMar>
              <w:top w:w="80" w:type="dxa"/>
              <w:start w:w="120" w:type="dxa"/>
              <w:bottom w:w="80" w:type="dxa"/>
              <w:end w:w="120" w:type="dxa"/>
            </w:tcMar>
            <w:vAlign w:val="center"/>
          </w:tcPr>
          <w:p>
            <w:pPr>
              <w:spacing w:after="40" w:line="264" w:lineRule="auto"/>
            </w:pPr>
            <w:r>
              <w:rPr>
                <w:rFonts w:ascii="Calibri" w:hAnsi="Calibri" w:eastAsia="等线"/>
                <w:sz w:val="19"/>
              </w:rPr>
              <w:t>切换备用云模型；或下沉边缘模型完成低风险步骤</w:t>
            </w:r>
          </w:p>
        </w:tc>
        <w:tc>
          <w:tcPr>
            <w:tcW w:type="dxa" w:w="2600"/>
            <w:tcMar>
              <w:top w:w="80" w:type="dxa"/>
              <w:start w:w="120" w:type="dxa"/>
              <w:bottom w:w="80" w:type="dxa"/>
              <w:end w:w="120" w:type="dxa"/>
            </w:tcMar>
            <w:vAlign w:val="center"/>
          </w:tcPr>
          <w:p>
            <w:pPr>
              <w:spacing w:after="40" w:line="264" w:lineRule="auto"/>
            </w:pPr>
            <w:r>
              <w:rPr>
                <w:rFonts w:ascii="Calibri" w:hAnsi="Calibri" w:eastAsia="等线"/>
                <w:sz w:val="19"/>
              </w:rPr>
              <w:t>恢复率、额外耗时和质量变化</w:t>
            </w:r>
          </w:p>
        </w:tc>
      </w:tr>
      <w:tr>
        <w:trPr>
          <w:cantSplit/>
        </w:trPr>
        <w:tc>
          <w:tcPr>
            <w:tcW w:type="dxa" w:w="1900"/>
            <w:tcMar>
              <w:top w:w="80" w:type="dxa"/>
              <w:start w:w="120" w:type="dxa"/>
              <w:bottom w:w="80" w:type="dxa"/>
              <w:end w:w="120" w:type="dxa"/>
            </w:tcMar>
            <w:vAlign w:val="center"/>
          </w:tcPr>
          <w:p>
            <w:pPr>
              <w:spacing w:after="40" w:line="264" w:lineRule="auto"/>
              <w:jc w:val="center"/>
            </w:pPr>
            <w:r>
              <w:rPr>
                <w:rFonts w:ascii="Calibri" w:hAnsi="Calibri" w:eastAsia="等线"/>
                <w:sz w:val="19"/>
              </w:rPr>
              <w:t>边缘节点失效</w:t>
            </w:r>
          </w:p>
        </w:tc>
        <w:tc>
          <w:tcPr>
            <w:tcW w:type="dxa" w:w="4860"/>
            <w:tcMar>
              <w:top w:w="80" w:type="dxa"/>
              <w:start w:w="120" w:type="dxa"/>
              <w:bottom w:w="80" w:type="dxa"/>
              <w:end w:w="120" w:type="dxa"/>
            </w:tcMar>
            <w:vAlign w:val="center"/>
          </w:tcPr>
          <w:p>
            <w:pPr>
              <w:spacing w:after="40" w:line="264" w:lineRule="auto"/>
            </w:pPr>
            <w:r>
              <w:rPr>
                <w:rFonts w:ascii="Calibri" w:hAnsi="Calibri" w:eastAsia="等线"/>
                <w:sz w:val="19"/>
              </w:rPr>
              <w:t>从 checkpoint 在邻近边缘或云端恢复；重新绑定工具</w:t>
            </w:r>
          </w:p>
        </w:tc>
        <w:tc>
          <w:tcPr>
            <w:tcW w:type="dxa" w:w="2600"/>
            <w:tcMar>
              <w:top w:w="80" w:type="dxa"/>
              <w:start w:w="120" w:type="dxa"/>
              <w:bottom w:w="80" w:type="dxa"/>
              <w:end w:w="120" w:type="dxa"/>
            </w:tcMar>
            <w:vAlign w:val="center"/>
          </w:tcPr>
          <w:p>
            <w:pPr>
              <w:spacing w:after="40" w:line="264" w:lineRule="auto"/>
            </w:pPr>
            <w:r>
              <w:rPr>
                <w:rFonts w:ascii="Calibri" w:hAnsi="Calibri" w:eastAsia="等线"/>
                <w:sz w:val="19"/>
              </w:rPr>
              <w:t>恢复时间、重复执行次数</w:t>
            </w:r>
          </w:p>
        </w:tc>
      </w:tr>
      <w:tr>
        <w:trPr>
          <w:cantSplit/>
        </w:trPr>
        <w:tc>
          <w:tcPr>
            <w:tcW w:type="dxa" w:w="1900"/>
            <w:tcMar>
              <w:top w:w="80" w:type="dxa"/>
              <w:start w:w="120" w:type="dxa"/>
              <w:bottom w:w="80" w:type="dxa"/>
              <w:end w:w="120" w:type="dxa"/>
            </w:tcMar>
            <w:vAlign w:val="center"/>
          </w:tcPr>
          <w:p>
            <w:pPr>
              <w:spacing w:after="40" w:line="264" w:lineRule="auto"/>
              <w:jc w:val="center"/>
            </w:pPr>
            <w:r>
              <w:rPr>
                <w:rFonts w:ascii="Calibri" w:hAnsi="Calibri" w:eastAsia="等线"/>
                <w:sz w:val="19"/>
              </w:rPr>
              <w:t>终端离线</w:t>
            </w:r>
          </w:p>
        </w:tc>
        <w:tc>
          <w:tcPr>
            <w:tcW w:type="dxa" w:w="4860"/>
            <w:tcMar>
              <w:top w:w="80" w:type="dxa"/>
              <w:start w:w="120" w:type="dxa"/>
              <w:bottom w:w="80" w:type="dxa"/>
              <w:end w:w="120" w:type="dxa"/>
            </w:tcMar>
            <w:vAlign w:val="center"/>
          </w:tcPr>
          <w:p>
            <w:pPr>
              <w:spacing w:after="40" w:line="264" w:lineRule="auto"/>
            </w:pPr>
            <w:r>
              <w:rPr>
                <w:rFonts w:ascii="Calibri" w:hAnsi="Calibri" w:eastAsia="等线"/>
                <w:sz w:val="19"/>
              </w:rPr>
              <w:t>本地队列和缓存继续可执行步骤；联网后增量同步事件</w:t>
            </w:r>
          </w:p>
        </w:tc>
        <w:tc>
          <w:tcPr>
            <w:tcW w:type="dxa" w:w="2600"/>
            <w:tcMar>
              <w:top w:w="80" w:type="dxa"/>
              <w:start w:w="120" w:type="dxa"/>
              <w:bottom w:w="80" w:type="dxa"/>
              <w:end w:w="120" w:type="dxa"/>
            </w:tcMar>
            <w:vAlign w:val="center"/>
          </w:tcPr>
          <w:p>
            <w:pPr>
              <w:spacing w:after="40" w:line="264" w:lineRule="auto"/>
            </w:pPr>
            <w:r>
              <w:rPr>
                <w:rFonts w:ascii="Calibri" w:hAnsi="Calibri" w:eastAsia="等线"/>
                <w:sz w:val="19"/>
              </w:rPr>
              <w:t>离线完成比例、同步一致性</w:t>
            </w:r>
          </w:p>
        </w:tc>
      </w:tr>
      <w:tr>
        <w:trPr>
          <w:cantSplit/>
        </w:trPr>
        <w:tc>
          <w:tcPr>
            <w:tcW w:type="dxa" w:w="1900"/>
            <w:tcMar>
              <w:top w:w="80" w:type="dxa"/>
              <w:start w:w="120" w:type="dxa"/>
              <w:bottom w:w="80" w:type="dxa"/>
              <w:end w:w="120" w:type="dxa"/>
            </w:tcMar>
            <w:vAlign w:val="center"/>
          </w:tcPr>
          <w:p>
            <w:pPr>
              <w:spacing w:after="40" w:line="264" w:lineRule="auto"/>
              <w:jc w:val="center"/>
            </w:pPr>
            <w:r>
              <w:rPr>
                <w:rFonts w:ascii="Calibri" w:hAnsi="Calibri" w:eastAsia="等线"/>
                <w:sz w:val="19"/>
              </w:rPr>
              <w:t>网络带宽下降</w:t>
            </w:r>
          </w:p>
        </w:tc>
        <w:tc>
          <w:tcPr>
            <w:tcW w:type="dxa" w:w="4860"/>
            <w:tcMar>
              <w:top w:w="80" w:type="dxa"/>
              <w:start w:w="120" w:type="dxa"/>
              <w:bottom w:w="80" w:type="dxa"/>
              <w:end w:w="120" w:type="dxa"/>
            </w:tcMar>
            <w:vAlign w:val="center"/>
          </w:tcPr>
          <w:p>
            <w:pPr>
              <w:spacing w:after="40" w:line="264" w:lineRule="auto"/>
            </w:pPr>
            <w:r>
              <w:rPr>
                <w:rFonts w:ascii="Calibri" w:hAnsi="Calibri" w:eastAsia="等线"/>
                <w:sz w:val="19"/>
              </w:rPr>
              <w:t>压缩上下文、仅传 artifact 引用、降低并发和迁移频率</w:t>
            </w:r>
          </w:p>
        </w:tc>
        <w:tc>
          <w:tcPr>
            <w:tcW w:type="dxa" w:w="2600"/>
            <w:tcMar>
              <w:top w:w="80" w:type="dxa"/>
              <w:start w:w="120" w:type="dxa"/>
              <w:bottom w:w="80" w:type="dxa"/>
              <w:end w:w="120" w:type="dxa"/>
            </w:tcMar>
            <w:vAlign w:val="center"/>
          </w:tcPr>
          <w:p>
            <w:pPr>
              <w:spacing w:after="40" w:line="264" w:lineRule="auto"/>
            </w:pPr>
            <w:r>
              <w:rPr>
                <w:rFonts w:ascii="Calibri" w:hAnsi="Calibri" w:eastAsia="等线"/>
                <w:sz w:val="19"/>
              </w:rPr>
              <w:t>传输量、Token、端到端耗时</w:t>
            </w:r>
          </w:p>
        </w:tc>
      </w:tr>
      <w:tr>
        <w:trPr>
          <w:cantSplit/>
        </w:trPr>
        <w:tc>
          <w:tcPr>
            <w:tcW w:type="dxa" w:w="1900"/>
            <w:tcMar>
              <w:top w:w="80" w:type="dxa"/>
              <w:start w:w="120" w:type="dxa"/>
              <w:bottom w:w="80" w:type="dxa"/>
              <w:end w:w="120" w:type="dxa"/>
            </w:tcMar>
            <w:vAlign w:val="center"/>
          </w:tcPr>
          <w:p>
            <w:pPr>
              <w:spacing w:after="40" w:line="264" w:lineRule="auto"/>
              <w:jc w:val="center"/>
            </w:pPr>
            <w:r>
              <w:rPr>
                <w:rFonts w:ascii="Calibri" w:hAnsi="Calibri" w:eastAsia="等线"/>
                <w:sz w:val="19"/>
              </w:rPr>
              <w:t>预算骤减</w:t>
            </w:r>
          </w:p>
        </w:tc>
        <w:tc>
          <w:tcPr>
            <w:tcW w:type="dxa" w:w="4860"/>
            <w:tcMar>
              <w:top w:w="80" w:type="dxa"/>
              <w:start w:w="120" w:type="dxa"/>
              <w:bottom w:w="80" w:type="dxa"/>
              <w:end w:w="120" w:type="dxa"/>
            </w:tcMar>
            <w:vAlign w:val="center"/>
          </w:tcPr>
          <w:p>
            <w:pPr>
              <w:spacing w:after="40" w:line="264" w:lineRule="auto"/>
            </w:pPr>
            <w:r>
              <w:rPr>
                <w:rFonts w:ascii="Calibri" w:hAnsi="Calibri" w:eastAsia="等线"/>
                <w:sz w:val="19"/>
              </w:rPr>
              <w:t>降低 Top-k、改用小模型、复用缓存、缩减非关键验证</w:t>
            </w:r>
          </w:p>
        </w:tc>
        <w:tc>
          <w:tcPr>
            <w:tcW w:type="dxa" w:w="2600"/>
            <w:tcMar>
              <w:top w:w="80" w:type="dxa"/>
              <w:start w:w="120" w:type="dxa"/>
              <w:bottom w:w="80" w:type="dxa"/>
              <w:end w:w="120" w:type="dxa"/>
            </w:tcMar>
            <w:vAlign w:val="center"/>
          </w:tcPr>
          <w:p>
            <w:pPr>
              <w:spacing w:after="40" w:line="264" w:lineRule="auto"/>
            </w:pPr>
            <w:r>
              <w:rPr>
                <w:rFonts w:ascii="Calibri" w:hAnsi="Calibri" w:eastAsia="等线"/>
                <w:sz w:val="19"/>
              </w:rPr>
              <w:t>成本下降及质量损失</w:t>
            </w:r>
          </w:p>
        </w:tc>
      </w:tr>
    </w:tbl>
    <w:p>
      <w:pPr>
        <w:spacing w:after="0"/>
      </w:pPr>
    </w:p>
    <w:p>
      <w:pPr>
        <w:pStyle w:val="Heading2"/>
      </w:pPr>
      <w:r>
        <w:t>4.7 无真实端侧设备时的可复现实验方案</w:t>
      </w:r>
    </w:p>
    <w:p>
      <w:r>
        <w:t>比赛前期不应把进度押在真实手机/NPU 适配上。可以在一台或多台计算机上用三个独立服务模拟 Device、Edge、Cloud：Device 使用规则引擎或本地小模型并施加 CPU/内存限制；Edge 使用量化模型、向量库和缓存；Cloud 调用强模型或高算力服务。通过可控网络延时、带宽、节点下线和隐私标签证明调度与迁移机制。材料中明确标注“资源环境模拟”，若后期获得荣耀设备或技术支持，再补真实终端实验。</w:t>
      </w:r>
    </w:p>
    <w:p>
      <w:pPr>
        <w:pStyle w:val="Heading2"/>
      </w:pPr>
      <w:r>
        <w:t>4.8 端边云实验矩阵与验收指标</w:t>
      </w:r>
    </w:p>
    <w:tbl>
      <w:tblPr>
        <w:tblStyle w:val="TableGrid"/>
        <w:tblW w:type="dxa" w:w="9360"/>
        <w:jc w:val="left"/>
        <w:tblLayout w:type="fixed"/>
        <w:tblLook w:firstColumn="1" w:firstRow="1" w:lastColumn="0" w:lastRow="0" w:noHBand="0" w:noVBand="1" w:val="04A0"/>
        <w:tblInd w:w="120" w:type="dxa"/>
      </w:tblPr>
      <w:tblGrid>
        <w:gridCol w:w="2100"/>
        <w:gridCol w:w="3500"/>
        <w:gridCol w:w="3760"/>
      </w:tblGrid>
      <w:tr>
        <w:trPr>
          <w:tblHeader/>
          <w:cantSplit/>
        </w:trPr>
        <w:tc>
          <w:tcPr>
            <w:tcW w:type="dxa" w:w="21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对照方案</w:t>
            </w:r>
          </w:p>
        </w:tc>
        <w:tc>
          <w:tcPr>
            <w:tcW w:type="dxa" w:w="35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变量</w:t>
            </w:r>
          </w:p>
        </w:tc>
        <w:tc>
          <w:tcPr>
            <w:tcW w:type="dxa" w:w="376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核心指标</w:t>
            </w:r>
          </w:p>
        </w:tc>
      </w:tr>
      <w:tr>
        <w:trPr>
          <w:cantSplit/>
        </w:trPr>
        <w:tc>
          <w:tcPr>
            <w:tcW w:type="dxa" w:w="2100"/>
            <w:tcMar>
              <w:top w:w="80" w:type="dxa"/>
              <w:start w:w="120" w:type="dxa"/>
              <w:bottom w:w="80" w:type="dxa"/>
              <w:end w:w="120" w:type="dxa"/>
            </w:tcMar>
            <w:vAlign w:val="center"/>
          </w:tcPr>
          <w:p>
            <w:pPr>
              <w:spacing w:after="40" w:line="264" w:lineRule="auto"/>
              <w:jc w:val="center"/>
            </w:pPr>
            <w:r>
              <w:rPr>
                <w:rFonts w:ascii="Calibri" w:hAnsi="Calibri" w:eastAsia="等线"/>
                <w:sz w:val="19"/>
              </w:rPr>
              <w:t>全云执行</w:t>
            </w:r>
          </w:p>
        </w:tc>
        <w:tc>
          <w:tcPr>
            <w:tcW w:type="dxa" w:w="3500"/>
            <w:tcMar>
              <w:top w:w="80" w:type="dxa"/>
              <w:start w:w="120" w:type="dxa"/>
              <w:bottom w:w="80" w:type="dxa"/>
              <w:end w:w="120" w:type="dxa"/>
            </w:tcMar>
            <w:vAlign w:val="center"/>
          </w:tcPr>
          <w:p>
            <w:pPr>
              <w:spacing w:after="40" w:line="264" w:lineRule="auto"/>
            </w:pPr>
            <w:r>
              <w:rPr>
                <w:rFonts w:ascii="Calibri" w:hAnsi="Calibri" w:eastAsia="等线"/>
                <w:sz w:val="19"/>
              </w:rPr>
              <w:t>所有推理固定在云端</w:t>
            </w:r>
          </w:p>
        </w:tc>
        <w:tc>
          <w:tcPr>
            <w:tcW w:type="dxa" w:w="3760"/>
            <w:tcMar>
              <w:top w:w="80" w:type="dxa"/>
              <w:start w:w="120" w:type="dxa"/>
              <w:bottom w:w="80" w:type="dxa"/>
              <w:end w:w="120" w:type="dxa"/>
            </w:tcMar>
            <w:vAlign w:val="center"/>
          </w:tcPr>
          <w:p>
            <w:pPr>
              <w:spacing w:after="40" w:line="264" w:lineRule="auto"/>
            </w:pPr>
            <w:r>
              <w:rPr>
                <w:rFonts w:ascii="Calibri" w:hAnsi="Calibri" w:eastAsia="等线"/>
                <w:sz w:val="19"/>
              </w:rPr>
              <w:t>质量、成本、时延、隐私违规数</w:t>
            </w:r>
          </w:p>
        </w:tc>
      </w:tr>
      <w:tr>
        <w:trPr>
          <w:cantSplit/>
        </w:trPr>
        <w:tc>
          <w:tcPr>
            <w:tcW w:type="dxa" w:w="2100"/>
            <w:tcMar>
              <w:top w:w="80" w:type="dxa"/>
              <w:start w:w="120" w:type="dxa"/>
              <w:bottom w:w="80" w:type="dxa"/>
              <w:end w:w="120" w:type="dxa"/>
            </w:tcMar>
            <w:vAlign w:val="center"/>
          </w:tcPr>
          <w:p>
            <w:pPr>
              <w:spacing w:after="40" w:line="264" w:lineRule="auto"/>
              <w:jc w:val="center"/>
            </w:pPr>
            <w:r>
              <w:rPr>
                <w:rFonts w:ascii="Calibri" w:hAnsi="Calibri" w:eastAsia="等线"/>
                <w:sz w:val="19"/>
              </w:rPr>
              <w:t>静态端边云</w:t>
            </w:r>
          </w:p>
        </w:tc>
        <w:tc>
          <w:tcPr>
            <w:tcW w:type="dxa" w:w="3500"/>
            <w:tcMar>
              <w:top w:w="80" w:type="dxa"/>
              <w:start w:w="120" w:type="dxa"/>
              <w:bottom w:w="80" w:type="dxa"/>
              <w:end w:w="120" w:type="dxa"/>
            </w:tcMar>
            <w:vAlign w:val="center"/>
          </w:tcPr>
          <w:p>
            <w:pPr>
              <w:spacing w:after="40" w:line="264" w:lineRule="auto"/>
            </w:pPr>
            <w:r>
              <w:rPr>
                <w:rFonts w:ascii="Calibri" w:hAnsi="Calibri" w:eastAsia="等线"/>
                <w:sz w:val="19"/>
              </w:rPr>
              <w:t>按角色固定 placement</w:t>
            </w:r>
          </w:p>
        </w:tc>
        <w:tc>
          <w:tcPr>
            <w:tcW w:type="dxa" w:w="3760"/>
            <w:tcMar>
              <w:top w:w="80" w:type="dxa"/>
              <w:start w:w="120" w:type="dxa"/>
              <w:bottom w:w="80" w:type="dxa"/>
              <w:end w:w="120" w:type="dxa"/>
            </w:tcMar>
            <w:vAlign w:val="center"/>
          </w:tcPr>
          <w:p>
            <w:pPr>
              <w:spacing w:after="40" w:line="264" w:lineRule="auto"/>
            </w:pPr>
            <w:r>
              <w:rPr>
                <w:rFonts w:ascii="Calibri" w:hAnsi="Calibri" w:eastAsia="等线"/>
                <w:sz w:val="19"/>
              </w:rPr>
              <w:t>成功率、平均时延、资源利用率</w:t>
            </w:r>
          </w:p>
        </w:tc>
      </w:tr>
      <w:tr>
        <w:trPr>
          <w:cantSplit/>
        </w:trPr>
        <w:tc>
          <w:tcPr>
            <w:tcW w:type="dxa" w:w="2100"/>
            <w:tcMar>
              <w:top w:w="80" w:type="dxa"/>
              <w:start w:w="120" w:type="dxa"/>
              <w:bottom w:w="80" w:type="dxa"/>
              <w:end w:w="120" w:type="dxa"/>
            </w:tcMar>
            <w:vAlign w:val="center"/>
          </w:tcPr>
          <w:p>
            <w:pPr>
              <w:spacing w:after="40" w:line="264" w:lineRule="auto"/>
              <w:jc w:val="center"/>
            </w:pPr>
            <w:r>
              <w:rPr>
                <w:rFonts w:ascii="Calibri" w:hAnsi="Calibri" w:eastAsia="等线"/>
                <w:sz w:val="19"/>
              </w:rPr>
              <w:t>自适应调度</w:t>
            </w:r>
          </w:p>
        </w:tc>
        <w:tc>
          <w:tcPr>
            <w:tcW w:type="dxa" w:w="3500"/>
            <w:tcMar>
              <w:top w:w="80" w:type="dxa"/>
              <w:start w:w="120" w:type="dxa"/>
              <w:bottom w:w="80" w:type="dxa"/>
              <w:end w:w="120" w:type="dxa"/>
            </w:tcMar>
            <w:vAlign w:val="center"/>
          </w:tcPr>
          <w:p>
            <w:pPr>
              <w:spacing w:after="40" w:line="264" w:lineRule="auto"/>
            </w:pPr>
            <w:r>
              <w:rPr>
                <w:rFonts w:ascii="Calibri" w:hAnsi="Calibri" w:eastAsia="等线"/>
                <w:sz w:val="19"/>
              </w:rPr>
              <w:t>依据任务与节点状态动态选址</w:t>
            </w:r>
          </w:p>
        </w:tc>
        <w:tc>
          <w:tcPr>
            <w:tcW w:type="dxa" w:w="3760"/>
            <w:tcMar>
              <w:top w:w="80" w:type="dxa"/>
              <w:start w:w="120" w:type="dxa"/>
              <w:bottom w:w="80" w:type="dxa"/>
              <w:end w:w="120" w:type="dxa"/>
            </w:tcMar>
            <w:vAlign w:val="center"/>
          </w:tcPr>
          <w:p>
            <w:pPr>
              <w:spacing w:after="40" w:line="264" w:lineRule="auto"/>
            </w:pPr>
            <w:r>
              <w:rPr>
                <w:rFonts w:ascii="Calibri" w:hAnsi="Calibri" w:eastAsia="等线"/>
                <w:sz w:val="19"/>
              </w:rPr>
              <w:t>成功率、成本、P95 时延、迁移次数</w:t>
            </w:r>
          </w:p>
        </w:tc>
      </w:tr>
      <w:tr>
        <w:trPr>
          <w:cantSplit/>
        </w:trPr>
        <w:tc>
          <w:tcPr>
            <w:tcW w:type="dxa" w:w="2100"/>
            <w:tcMar>
              <w:top w:w="80" w:type="dxa"/>
              <w:start w:w="120" w:type="dxa"/>
              <w:bottom w:w="80" w:type="dxa"/>
              <w:end w:w="120" w:type="dxa"/>
            </w:tcMar>
            <w:vAlign w:val="center"/>
          </w:tcPr>
          <w:p>
            <w:pPr>
              <w:spacing w:after="40" w:line="264" w:lineRule="auto"/>
              <w:jc w:val="center"/>
            </w:pPr>
            <w:r>
              <w:rPr>
                <w:rFonts w:ascii="Calibri" w:hAnsi="Calibri" w:eastAsia="等线"/>
                <w:sz w:val="19"/>
              </w:rPr>
              <w:t>自适应 + 故障注入</w:t>
            </w:r>
          </w:p>
        </w:tc>
        <w:tc>
          <w:tcPr>
            <w:tcW w:type="dxa" w:w="3500"/>
            <w:tcMar>
              <w:top w:w="80" w:type="dxa"/>
              <w:start w:w="120" w:type="dxa"/>
              <w:bottom w:w="80" w:type="dxa"/>
              <w:end w:w="120" w:type="dxa"/>
            </w:tcMar>
            <w:vAlign w:val="center"/>
          </w:tcPr>
          <w:p>
            <w:pPr>
              <w:spacing w:after="40" w:line="264" w:lineRule="auto"/>
            </w:pPr>
            <w:r>
              <w:rPr>
                <w:rFonts w:ascii="Calibri" w:hAnsi="Calibri" w:eastAsia="等线"/>
                <w:sz w:val="19"/>
              </w:rPr>
              <w:t>节点失效、超时、带宽下降、预算变化</w:t>
            </w:r>
          </w:p>
        </w:tc>
        <w:tc>
          <w:tcPr>
            <w:tcW w:type="dxa" w:w="3760"/>
            <w:tcMar>
              <w:top w:w="80" w:type="dxa"/>
              <w:start w:w="120" w:type="dxa"/>
              <w:bottom w:w="80" w:type="dxa"/>
              <w:end w:w="120" w:type="dxa"/>
            </w:tcMar>
            <w:vAlign w:val="center"/>
          </w:tcPr>
          <w:p>
            <w:pPr>
              <w:spacing w:after="40" w:line="264" w:lineRule="auto"/>
            </w:pPr>
            <w:r>
              <w:rPr>
                <w:rFonts w:ascii="Calibri" w:hAnsi="Calibri" w:eastAsia="等线"/>
                <w:sz w:val="19"/>
              </w:rPr>
              <w:t>恢复率、恢复时间、额外 Token、质量损失</w:t>
            </w:r>
          </w:p>
        </w:tc>
      </w:tr>
    </w:tbl>
    <w:p>
      <w:pPr>
        <w:spacing w:after="0"/>
      </w:pPr>
    </w:p>
    <w:p>
      <w:pPr>
        <w:pStyle w:val="ListBullet"/>
      </w:pPr>
      <w:r>
        <w:t>隐私硬约束违规数 = 0。</w:t>
      </w:r>
    </w:p>
    <w:p>
      <w:pPr>
        <w:pStyle w:val="ListBullet"/>
      </w:pPr>
      <w:r>
        <w:t>相对全云方案，低复杂度任务云端 Token 或调用次数下降至少 25%。</w:t>
      </w:r>
    </w:p>
    <w:p>
      <w:pPr>
        <w:pStyle w:val="ListBullet"/>
      </w:pPr>
      <w:r>
        <w:t>节点故障后自动恢复率不低于 90%，且无需人工修改执行计划。</w:t>
      </w:r>
    </w:p>
    <w:p>
      <w:pPr>
        <w:pStyle w:val="ListBullet"/>
      </w:pPr>
      <w:r>
        <w:t>对实时任务报告 P50/P95 时延，对复杂任务报告质量—成本折中曲线。</w:t>
      </w:r>
    </w:p>
    <w:p>
      <w:pPr>
        <w:pStyle w:val="ListBullet"/>
      </w:pPr>
      <w:r>
        <w:t>UI 能展示每个子任务的 placement、选址理由、迁移轨迹和资源消耗。</w:t>
      </w:r>
    </w:p>
    <w:p>
      <w:pPr>
        <w:pStyle w:val="Heading1"/>
      </w:pPr>
      <w:r>
        <w:t>5. 动态异构拓扑与低熵通信</w:t>
      </w:r>
    </w:p>
    <w:p>
      <w:r>
        <w:t>Agent 通过 capability registry 声明 capabilities、cost、latency、trust、placement 和 tools。Dynamic Router 根据能力匹配、任务依赖、预期不确定性下降、Token 成本、时延和隐私风险，仅选择 Top-k 接收者形成当前子图。通信拓扑随任务语义、节点状态和预算变化，不预设为静态全连接。</w:t>
      </w:r>
    </w:p>
    <w:p>
      <w:pPr>
        <w:pStyle w:val="Heading2"/>
      </w:pPr>
      <w:r>
        <w:t>5.1 结构化消息</w:t>
      </w:r>
    </w:p>
    <w:p>
      <w:r>
        <w:t>统一消息至少包含 task_id、sender、receiver_capability、intent、claim、evidence_refs、confidence、requested_action、TTL 和 budget。通过证据引用替代原文重复搬运，并使用 TTL、去重、预算门限和无增益消息过滤抑制噪声级联。</w:t>
      </w:r>
    </w:p>
    <w:p>
      <w:pPr>
        <w:pStyle w:val="Heading2"/>
      </w:pPr>
      <w:r>
        <w:t>5.2 核心实验</w:t>
      </w:r>
    </w:p>
    <w:p>
      <w:r>
        <w:t>比较单 Agent、静态全连接多 Agent、动态 Top-k 多 Agent三组方案，统一报告成功率、质量分、消息数、总 Token 和耗时。阶段目标是在任务质量不显著下降的情况下，相对静态全连接减少至少 25% 的通信 Token。</w:t>
      </w:r>
    </w:p>
    <w:p>
      <w:pPr>
        <w:pStyle w:val="Heading1"/>
      </w:pPr>
      <w:r>
        <w:t>6. 分层记忆与超长程连续性</w:t>
      </w:r>
    </w:p>
    <w:tbl>
      <w:tblPr>
        <w:tblStyle w:val="TableGrid"/>
        <w:tblW w:type="dxa" w:w="9360"/>
        <w:jc w:val="left"/>
        <w:tblLayout w:type="fixed"/>
        <w:tblLook w:firstColumn="1" w:firstRow="1" w:lastColumn="0" w:lastRow="0" w:noHBand="0" w:noVBand="1" w:val="04A0"/>
        <w:tblInd w:w="120" w:type="dxa"/>
      </w:tblPr>
      <w:tblGrid>
        <w:gridCol w:w="2100"/>
        <w:gridCol w:w="4700"/>
        <w:gridCol w:w="2560"/>
      </w:tblGrid>
      <w:tr>
        <w:trPr>
          <w:tblHeader/>
          <w:cantSplit/>
        </w:trPr>
        <w:tc>
          <w:tcPr>
            <w:tcW w:type="dxa" w:w="21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记忆层</w:t>
            </w:r>
          </w:p>
        </w:tc>
        <w:tc>
          <w:tcPr>
            <w:tcW w:type="dxa" w:w="47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内容</w:t>
            </w:r>
          </w:p>
        </w:tc>
        <w:tc>
          <w:tcPr>
            <w:tcW w:type="dxa" w:w="256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生命周期</w:t>
            </w:r>
          </w:p>
        </w:tc>
      </w:tr>
      <w:tr>
        <w:trPr>
          <w:cantSplit/>
        </w:trPr>
        <w:tc>
          <w:tcPr>
            <w:tcW w:type="dxa" w:w="2100"/>
            <w:tcMar>
              <w:top w:w="80" w:type="dxa"/>
              <w:start w:w="120" w:type="dxa"/>
              <w:bottom w:w="80" w:type="dxa"/>
              <w:end w:w="120" w:type="dxa"/>
            </w:tcMar>
            <w:vAlign w:val="center"/>
          </w:tcPr>
          <w:p>
            <w:pPr>
              <w:spacing w:after="40" w:line="264" w:lineRule="auto"/>
              <w:jc w:val="center"/>
            </w:pPr>
            <w:r>
              <w:rPr>
                <w:rFonts w:ascii="Calibri" w:hAnsi="Calibri" w:eastAsia="等线"/>
                <w:sz w:val="19"/>
              </w:rPr>
              <w:t>Working Memory</w:t>
            </w:r>
          </w:p>
        </w:tc>
        <w:tc>
          <w:tcPr>
            <w:tcW w:type="dxa" w:w="4700"/>
            <w:tcMar>
              <w:top w:w="80" w:type="dxa"/>
              <w:start w:w="120" w:type="dxa"/>
              <w:bottom w:w="80" w:type="dxa"/>
              <w:end w:w="120" w:type="dxa"/>
            </w:tcMar>
            <w:vAlign w:val="center"/>
          </w:tcPr>
          <w:p>
            <w:pPr>
              <w:spacing w:after="40" w:line="264" w:lineRule="auto"/>
            </w:pPr>
            <w:r>
              <w:rPr>
                <w:rFonts w:ascii="Calibri" w:hAnsi="Calibri" w:eastAsia="等线"/>
                <w:sz w:val="19"/>
              </w:rPr>
              <w:t>当前子任务的局部上下文和最近工具结果</w:t>
            </w:r>
          </w:p>
        </w:tc>
        <w:tc>
          <w:tcPr>
            <w:tcW w:type="dxa" w:w="2560"/>
            <w:tcMar>
              <w:top w:w="80" w:type="dxa"/>
              <w:start w:w="120" w:type="dxa"/>
              <w:bottom w:w="80" w:type="dxa"/>
              <w:end w:w="120" w:type="dxa"/>
            </w:tcMar>
            <w:vAlign w:val="center"/>
          </w:tcPr>
          <w:p>
            <w:pPr>
              <w:spacing w:after="40" w:line="264" w:lineRule="auto"/>
            </w:pPr>
            <w:r>
              <w:rPr>
                <w:rFonts w:ascii="Calibri" w:hAnsi="Calibri" w:eastAsia="等线"/>
                <w:sz w:val="19"/>
              </w:rPr>
              <w:t>短，完成后压缩</w:t>
            </w:r>
          </w:p>
        </w:tc>
      </w:tr>
      <w:tr>
        <w:trPr>
          <w:cantSplit/>
        </w:trPr>
        <w:tc>
          <w:tcPr>
            <w:tcW w:type="dxa" w:w="2100"/>
            <w:tcMar>
              <w:top w:w="80" w:type="dxa"/>
              <w:start w:w="120" w:type="dxa"/>
              <w:bottom w:w="80" w:type="dxa"/>
              <w:end w:w="120" w:type="dxa"/>
            </w:tcMar>
            <w:vAlign w:val="center"/>
          </w:tcPr>
          <w:p>
            <w:pPr>
              <w:spacing w:after="40" w:line="264" w:lineRule="auto"/>
              <w:jc w:val="center"/>
            </w:pPr>
            <w:r>
              <w:rPr>
                <w:rFonts w:ascii="Calibri" w:hAnsi="Calibri" w:eastAsia="等线"/>
                <w:sz w:val="19"/>
              </w:rPr>
              <w:t>Episodic Memory</w:t>
            </w:r>
          </w:p>
        </w:tc>
        <w:tc>
          <w:tcPr>
            <w:tcW w:type="dxa" w:w="4700"/>
            <w:tcMar>
              <w:top w:w="80" w:type="dxa"/>
              <w:start w:w="120" w:type="dxa"/>
              <w:bottom w:w="80" w:type="dxa"/>
              <w:end w:w="120" w:type="dxa"/>
            </w:tcMar>
            <w:vAlign w:val="center"/>
          </w:tcPr>
          <w:p>
            <w:pPr>
              <w:spacing w:after="40" w:line="264" w:lineRule="auto"/>
            </w:pPr>
            <w:r>
              <w:rPr>
                <w:rFonts w:ascii="Calibri" w:hAnsi="Calibri" w:eastAsia="等线"/>
                <w:sz w:val="19"/>
              </w:rPr>
              <w:t>事件、决策、错误、恢复、需求变更和结果</w:t>
            </w:r>
          </w:p>
        </w:tc>
        <w:tc>
          <w:tcPr>
            <w:tcW w:type="dxa" w:w="2560"/>
            <w:tcMar>
              <w:top w:w="80" w:type="dxa"/>
              <w:start w:w="120" w:type="dxa"/>
              <w:bottom w:w="80" w:type="dxa"/>
              <w:end w:w="120" w:type="dxa"/>
            </w:tcMar>
            <w:vAlign w:val="center"/>
          </w:tcPr>
          <w:p>
            <w:pPr>
              <w:spacing w:after="40" w:line="264" w:lineRule="auto"/>
            </w:pPr>
            <w:r>
              <w:rPr>
                <w:rFonts w:ascii="Calibri" w:hAnsi="Calibri" w:eastAsia="等线"/>
                <w:sz w:val="19"/>
              </w:rPr>
              <w:t>append-only，支持回放</w:t>
            </w:r>
          </w:p>
        </w:tc>
      </w:tr>
      <w:tr>
        <w:trPr>
          <w:cantSplit/>
        </w:trPr>
        <w:tc>
          <w:tcPr>
            <w:tcW w:type="dxa" w:w="2100"/>
            <w:tcMar>
              <w:top w:w="80" w:type="dxa"/>
              <w:start w:w="120" w:type="dxa"/>
              <w:bottom w:w="80" w:type="dxa"/>
              <w:end w:w="120" w:type="dxa"/>
            </w:tcMar>
            <w:vAlign w:val="center"/>
          </w:tcPr>
          <w:p>
            <w:pPr>
              <w:spacing w:after="40" w:line="264" w:lineRule="auto"/>
              <w:jc w:val="center"/>
            </w:pPr>
            <w:r>
              <w:rPr>
                <w:rFonts w:ascii="Calibri" w:hAnsi="Calibri" w:eastAsia="等线"/>
                <w:sz w:val="19"/>
              </w:rPr>
              <w:t>Semantic Memory</w:t>
            </w:r>
          </w:p>
        </w:tc>
        <w:tc>
          <w:tcPr>
            <w:tcW w:type="dxa" w:w="4700"/>
            <w:tcMar>
              <w:top w:w="80" w:type="dxa"/>
              <w:start w:w="120" w:type="dxa"/>
              <w:bottom w:w="80" w:type="dxa"/>
              <w:end w:w="120" w:type="dxa"/>
            </w:tcMar>
            <w:vAlign w:val="center"/>
          </w:tcPr>
          <w:p>
            <w:pPr>
              <w:spacing w:after="40" w:line="264" w:lineRule="auto"/>
            </w:pPr>
            <w:r>
              <w:rPr>
                <w:rFonts w:ascii="Calibri" w:hAnsi="Calibri" w:eastAsia="等线"/>
                <w:sz w:val="19"/>
              </w:rPr>
              <w:t>事实、约束、摘要、向量索引和产物引用</w:t>
            </w:r>
          </w:p>
        </w:tc>
        <w:tc>
          <w:tcPr>
            <w:tcW w:type="dxa" w:w="2560"/>
            <w:tcMar>
              <w:top w:w="80" w:type="dxa"/>
              <w:start w:w="120" w:type="dxa"/>
              <w:bottom w:w="80" w:type="dxa"/>
              <w:end w:w="120" w:type="dxa"/>
            </w:tcMar>
            <w:vAlign w:val="center"/>
          </w:tcPr>
          <w:p>
            <w:pPr>
              <w:spacing w:after="40" w:line="264" w:lineRule="auto"/>
            </w:pPr>
            <w:r>
              <w:rPr>
                <w:rFonts w:ascii="Calibri" w:hAnsi="Calibri" w:eastAsia="等线"/>
                <w:sz w:val="19"/>
              </w:rPr>
              <w:t>跨阶段保留</w:t>
            </w:r>
          </w:p>
        </w:tc>
      </w:tr>
      <w:tr>
        <w:trPr>
          <w:cantSplit/>
        </w:trPr>
        <w:tc>
          <w:tcPr>
            <w:tcW w:type="dxa" w:w="2100"/>
            <w:tcMar>
              <w:top w:w="80" w:type="dxa"/>
              <w:start w:w="120" w:type="dxa"/>
              <w:bottom w:w="80" w:type="dxa"/>
              <w:end w:w="120" w:type="dxa"/>
            </w:tcMar>
            <w:vAlign w:val="center"/>
          </w:tcPr>
          <w:p>
            <w:pPr>
              <w:spacing w:after="40" w:line="264" w:lineRule="auto"/>
              <w:jc w:val="center"/>
            </w:pPr>
            <w:r>
              <w:rPr>
                <w:rFonts w:ascii="Calibri" w:hAnsi="Calibri" w:eastAsia="等线"/>
                <w:sz w:val="19"/>
              </w:rPr>
              <w:t>Global Blackboard</w:t>
            </w:r>
          </w:p>
        </w:tc>
        <w:tc>
          <w:tcPr>
            <w:tcW w:type="dxa" w:w="4700"/>
            <w:tcMar>
              <w:top w:w="80" w:type="dxa"/>
              <w:start w:w="120" w:type="dxa"/>
              <w:bottom w:w="80" w:type="dxa"/>
              <w:end w:w="120" w:type="dxa"/>
            </w:tcMar>
            <w:vAlign w:val="center"/>
          </w:tcPr>
          <w:p>
            <w:pPr>
              <w:spacing w:after="40" w:line="264" w:lineRule="auto"/>
            </w:pPr>
            <w:r>
              <w:rPr>
                <w:rFonts w:ascii="Calibri" w:hAnsi="Calibri" w:eastAsia="等线"/>
                <w:sz w:val="19"/>
              </w:rPr>
              <w:t>全局目标、里程碑状态、关键决策、验收条件</w:t>
            </w:r>
          </w:p>
        </w:tc>
        <w:tc>
          <w:tcPr>
            <w:tcW w:type="dxa" w:w="2560"/>
            <w:tcMar>
              <w:top w:w="80" w:type="dxa"/>
              <w:start w:w="120" w:type="dxa"/>
              <w:bottom w:w="80" w:type="dxa"/>
              <w:end w:w="120" w:type="dxa"/>
            </w:tcMar>
            <w:vAlign w:val="center"/>
          </w:tcPr>
          <w:p>
            <w:pPr>
              <w:spacing w:after="40" w:line="264" w:lineRule="auto"/>
            </w:pPr>
            <w:r>
              <w:rPr>
                <w:rFonts w:ascii="Calibri" w:hAnsi="Calibri" w:eastAsia="等线"/>
                <w:sz w:val="19"/>
              </w:rPr>
              <w:t>全任务强一致</w:t>
            </w:r>
          </w:p>
        </w:tc>
      </w:tr>
    </w:tbl>
    <w:p>
      <w:pPr>
        <w:spacing w:after="0"/>
      </w:pPr>
    </w:p>
    <w:p>
      <w:r>
        <w:t>采用重要度、时效性、依赖中心性和不确定性联合评分进行压缩与唤醒。摘要必须保留来源指针，Verifier 周期性检查关键约束召回和目标漂移。阶段目标为：300 步真实/混合轨迹关键约束召回率不低于 95%，1000 步压力/回放测试无状态损坏。</w:t>
      </w:r>
    </w:p>
    <w:p>
      <w:pPr>
        <w:pStyle w:val="Heading1"/>
      </w:pPr>
      <w:r>
        <w:t>7. 可恢复长程执行内核</w:t>
      </w:r>
    </w:p>
    <w:p>
      <w:pPr>
        <w:pStyle w:val="ListBullet"/>
      </w:pPr>
      <w:r>
        <w:t>任务持久化为 DAG/状态机；每个节点包含输入、输出、依赖、状态、预算、重试和验收条件。</w:t>
      </w:r>
    </w:p>
    <w:p>
      <w:pPr>
        <w:pStyle w:val="ListBullet"/>
      </w:pPr>
      <w:r>
        <w:t>所有状态变化写入 append-only event log；产物进入 artifact store；按里程碑生成 checkpoint。</w:t>
      </w:r>
    </w:p>
    <w:p>
      <w:pPr>
        <w:pStyle w:val="ListBullet"/>
      </w:pPr>
      <w:r>
        <w:t>执行步骤要求幂等，进程中断后可以从最后一个一致检查点恢复。</w:t>
      </w:r>
    </w:p>
    <w:p>
      <w:pPr>
        <w:pStyle w:val="ListBullet"/>
      </w:pPr>
      <w:r>
        <w:t>Supervisor 处理超时、模型异常、工具异常和需求变更；Verifier 负责结果门禁。</w:t>
      </w:r>
    </w:p>
    <w:p>
      <w:pPr>
        <w:pStyle w:val="ListBullet"/>
      </w:pPr>
      <w:r>
        <w:t>失败时按重试 → 换模型/节点 → 局部重规划 → 全局降级的顺序自动处理。</w:t>
      </w:r>
    </w:p>
    <w:p>
      <w:pPr>
        <w:pStyle w:val="Heading1"/>
      </w:pPr>
      <w:r>
        <w:t>8. 研发排期与里程碑</w:t>
      </w:r>
    </w:p>
    <w:tbl>
      <w:tblPr>
        <w:tblStyle w:val="TableGrid"/>
        <w:tblW w:type="dxa" w:w="9360"/>
        <w:jc w:val="left"/>
        <w:tblLayout w:type="fixed"/>
        <w:tblLook w:firstColumn="1" w:firstRow="1" w:lastColumn="0" w:lastRow="0" w:noHBand="0" w:noVBand="1" w:val="04A0"/>
        <w:tblInd w:w="120" w:type="dxa"/>
      </w:tblPr>
      <w:tblGrid>
        <w:gridCol w:w="1650"/>
        <w:gridCol w:w="4550"/>
        <w:gridCol w:w="3160"/>
      </w:tblGrid>
      <w:tr>
        <w:trPr>
          <w:tblHeader/>
          <w:cantSplit/>
        </w:trPr>
        <w:tc>
          <w:tcPr>
            <w:tcW w:type="dxa" w:w="165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时间</w:t>
            </w:r>
          </w:p>
        </w:tc>
        <w:tc>
          <w:tcPr>
            <w:tcW w:type="dxa" w:w="455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研发重点</w:t>
            </w:r>
          </w:p>
        </w:tc>
        <w:tc>
          <w:tcPr>
            <w:tcW w:type="dxa" w:w="316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退出条件</w:t>
            </w:r>
          </w:p>
        </w:tc>
      </w:tr>
      <w:tr>
        <w:trPr>
          <w:cantSplit/>
        </w:trPr>
        <w:tc>
          <w:tcPr>
            <w:tcW w:type="dxa" w:w="1650"/>
            <w:tcMar>
              <w:top w:w="80" w:type="dxa"/>
              <w:start w:w="120" w:type="dxa"/>
              <w:bottom w:w="80" w:type="dxa"/>
              <w:end w:w="120" w:type="dxa"/>
            </w:tcMar>
            <w:vAlign w:val="center"/>
          </w:tcPr>
          <w:p>
            <w:pPr>
              <w:spacing w:after="40" w:line="264" w:lineRule="auto"/>
              <w:jc w:val="center"/>
            </w:pPr>
            <w:r>
              <w:rPr>
                <w:rFonts w:ascii="Calibri" w:hAnsi="Calibri" w:eastAsia="等线"/>
                <w:sz w:val="19"/>
              </w:rPr>
              <w:t>7/17-7/20</w:t>
            </w:r>
          </w:p>
        </w:tc>
        <w:tc>
          <w:tcPr>
            <w:tcW w:type="dxa" w:w="4550"/>
            <w:tcMar>
              <w:top w:w="80" w:type="dxa"/>
              <w:start w:w="120" w:type="dxa"/>
              <w:bottom w:w="80" w:type="dxa"/>
              <w:end w:w="120" w:type="dxa"/>
            </w:tcMar>
            <w:vAlign w:val="center"/>
          </w:tcPr>
          <w:p>
            <w:pPr>
              <w:spacing w:after="40" w:line="264" w:lineRule="auto"/>
            </w:pPr>
            <w:r>
              <w:rPr>
                <w:rFonts w:ascii="Calibri" w:hAnsi="Calibri" w:eastAsia="等线"/>
                <w:sz w:val="19"/>
              </w:rPr>
              <w:t>代码审计、baseline、两个 Demo 范围冻结</w:t>
            </w:r>
          </w:p>
        </w:tc>
        <w:tc>
          <w:tcPr>
            <w:tcW w:type="dxa" w:w="3160"/>
            <w:tcMar>
              <w:top w:w="80" w:type="dxa"/>
              <w:start w:w="120" w:type="dxa"/>
              <w:bottom w:w="80" w:type="dxa"/>
              <w:end w:w="120" w:type="dxa"/>
            </w:tcMar>
            <w:vAlign w:val="center"/>
          </w:tcPr>
          <w:p>
            <w:pPr>
              <w:spacing w:after="40" w:line="264" w:lineRule="auto"/>
            </w:pPr>
            <w:r>
              <w:rPr>
                <w:rFonts w:ascii="Calibri" w:hAnsi="Calibri" w:eastAsia="等线"/>
                <w:sz w:val="19"/>
              </w:rPr>
              <w:t>新环境可复现；指标可采集</w:t>
            </w:r>
          </w:p>
        </w:tc>
      </w:tr>
      <w:tr>
        <w:trPr>
          <w:cantSplit/>
        </w:trPr>
        <w:tc>
          <w:tcPr>
            <w:tcW w:type="dxa" w:w="1650"/>
            <w:tcMar>
              <w:top w:w="80" w:type="dxa"/>
              <w:start w:w="120" w:type="dxa"/>
              <w:bottom w:w="80" w:type="dxa"/>
              <w:end w:w="120" w:type="dxa"/>
            </w:tcMar>
            <w:vAlign w:val="center"/>
          </w:tcPr>
          <w:p>
            <w:pPr>
              <w:spacing w:after="40" w:line="264" w:lineRule="auto"/>
              <w:jc w:val="center"/>
            </w:pPr>
            <w:r>
              <w:rPr>
                <w:rFonts w:ascii="Calibri" w:hAnsi="Calibri" w:eastAsia="等线"/>
                <w:sz w:val="19"/>
              </w:rPr>
              <w:t>7/21-7/27</w:t>
            </w:r>
          </w:p>
        </w:tc>
        <w:tc>
          <w:tcPr>
            <w:tcW w:type="dxa" w:w="4550"/>
            <w:tcMar>
              <w:top w:w="80" w:type="dxa"/>
              <w:start w:w="120" w:type="dxa"/>
              <w:bottom w:w="80" w:type="dxa"/>
              <w:end w:w="120" w:type="dxa"/>
            </w:tcMar>
            <w:vAlign w:val="center"/>
          </w:tcPr>
          <w:p>
            <w:pPr>
              <w:spacing w:after="40" w:line="264" w:lineRule="auto"/>
            </w:pPr>
            <w:r>
              <w:rPr>
                <w:rFonts w:ascii="Calibri" w:hAnsi="Calibri" w:eastAsia="等线"/>
                <w:sz w:val="19"/>
              </w:rPr>
              <w:t>持久化 DAG、event log、checkpoint、Verifier</w:t>
            </w:r>
          </w:p>
        </w:tc>
        <w:tc>
          <w:tcPr>
            <w:tcW w:type="dxa" w:w="3160"/>
            <w:tcMar>
              <w:top w:w="80" w:type="dxa"/>
              <w:start w:w="120" w:type="dxa"/>
              <w:bottom w:w="80" w:type="dxa"/>
              <w:end w:w="120" w:type="dxa"/>
            </w:tcMar>
            <w:vAlign w:val="center"/>
          </w:tcPr>
          <w:p>
            <w:pPr>
              <w:spacing w:after="40" w:line="264" w:lineRule="auto"/>
            </w:pPr>
            <w:r>
              <w:rPr>
                <w:rFonts w:ascii="Calibri" w:hAnsi="Calibri" w:eastAsia="等线"/>
                <w:sz w:val="19"/>
              </w:rPr>
              <w:t>进程中断可恢复；10% 工具失败仍可完成短任务</w:t>
            </w:r>
          </w:p>
        </w:tc>
      </w:tr>
      <w:tr>
        <w:trPr>
          <w:cantSplit/>
        </w:trPr>
        <w:tc>
          <w:tcPr>
            <w:tcW w:type="dxa" w:w="1650"/>
            <w:tcMar>
              <w:top w:w="80" w:type="dxa"/>
              <w:start w:w="120" w:type="dxa"/>
              <w:bottom w:w="80" w:type="dxa"/>
              <w:end w:w="120" w:type="dxa"/>
            </w:tcMar>
            <w:vAlign w:val="center"/>
          </w:tcPr>
          <w:p>
            <w:pPr>
              <w:spacing w:after="40" w:line="264" w:lineRule="auto"/>
              <w:jc w:val="center"/>
            </w:pPr>
            <w:r>
              <w:rPr>
                <w:rFonts w:ascii="Calibri" w:hAnsi="Calibri" w:eastAsia="等线"/>
                <w:sz w:val="19"/>
              </w:rPr>
              <w:t>7/28-8/3</w:t>
            </w:r>
          </w:p>
        </w:tc>
        <w:tc>
          <w:tcPr>
            <w:tcW w:type="dxa" w:w="4550"/>
            <w:tcMar>
              <w:top w:w="80" w:type="dxa"/>
              <w:start w:w="120" w:type="dxa"/>
              <w:bottom w:w="80" w:type="dxa"/>
              <w:end w:w="120" w:type="dxa"/>
            </w:tcMar>
            <w:vAlign w:val="center"/>
          </w:tcPr>
          <w:p>
            <w:pPr>
              <w:spacing w:after="40" w:line="264" w:lineRule="auto"/>
            </w:pPr>
            <w:r>
              <w:rPr>
                <w:rFonts w:ascii="Calibri" w:hAnsi="Calibri" w:eastAsia="等线"/>
                <w:sz w:val="19"/>
              </w:rPr>
              <w:t>能力注册、动态 Top-k 路由、结构化消息、拓扑 UI</w:t>
            </w:r>
          </w:p>
        </w:tc>
        <w:tc>
          <w:tcPr>
            <w:tcW w:type="dxa" w:w="3160"/>
            <w:tcMar>
              <w:top w:w="80" w:type="dxa"/>
              <w:start w:w="120" w:type="dxa"/>
              <w:bottom w:w="80" w:type="dxa"/>
              <w:end w:w="120" w:type="dxa"/>
            </w:tcMar>
            <w:vAlign w:val="center"/>
          </w:tcPr>
          <w:p>
            <w:pPr>
              <w:spacing w:after="40" w:line="264" w:lineRule="auto"/>
            </w:pPr>
            <w:r>
              <w:rPr>
                <w:rFonts w:ascii="Calibri" w:hAnsi="Calibri" w:eastAsia="等线"/>
                <w:sz w:val="19"/>
              </w:rPr>
              <w:t>Token 相对全连接下降 ≥25%，质量不显著下降</w:t>
            </w:r>
          </w:p>
        </w:tc>
      </w:tr>
      <w:tr>
        <w:trPr>
          <w:cantSplit/>
        </w:trPr>
        <w:tc>
          <w:tcPr>
            <w:tcW w:type="dxa" w:w="1650"/>
            <w:tcMar>
              <w:top w:w="80" w:type="dxa"/>
              <w:start w:w="120" w:type="dxa"/>
              <w:bottom w:w="80" w:type="dxa"/>
              <w:end w:w="120" w:type="dxa"/>
            </w:tcMar>
            <w:vAlign w:val="center"/>
          </w:tcPr>
          <w:p>
            <w:pPr>
              <w:spacing w:after="40" w:line="264" w:lineRule="auto"/>
              <w:jc w:val="center"/>
            </w:pPr>
            <w:r>
              <w:rPr>
                <w:rFonts w:ascii="Calibri" w:hAnsi="Calibri" w:eastAsia="等线"/>
                <w:sz w:val="19"/>
              </w:rPr>
              <w:t>8/4-8/10</w:t>
            </w:r>
          </w:p>
        </w:tc>
        <w:tc>
          <w:tcPr>
            <w:tcW w:type="dxa" w:w="4550"/>
            <w:tcMar>
              <w:top w:w="80" w:type="dxa"/>
              <w:start w:w="120" w:type="dxa"/>
              <w:bottom w:w="80" w:type="dxa"/>
              <w:end w:w="120" w:type="dxa"/>
            </w:tcMar>
            <w:vAlign w:val="center"/>
          </w:tcPr>
          <w:p>
            <w:pPr>
              <w:spacing w:after="40" w:line="264" w:lineRule="auto"/>
            </w:pPr>
            <w:r>
              <w:rPr>
                <w:rFonts w:ascii="Calibri" w:hAnsi="Calibri" w:eastAsia="等线"/>
                <w:sz w:val="19"/>
              </w:rPr>
              <w:t>四层记忆、压缩唤醒、目标漂移检测</w:t>
            </w:r>
          </w:p>
        </w:tc>
        <w:tc>
          <w:tcPr>
            <w:tcW w:type="dxa" w:w="3160"/>
            <w:tcMar>
              <w:top w:w="80" w:type="dxa"/>
              <w:start w:w="120" w:type="dxa"/>
              <w:bottom w:w="80" w:type="dxa"/>
              <w:end w:w="120" w:type="dxa"/>
            </w:tcMar>
            <w:vAlign w:val="center"/>
          </w:tcPr>
          <w:p>
            <w:pPr>
              <w:spacing w:after="40" w:line="264" w:lineRule="auto"/>
            </w:pPr>
            <w:r>
              <w:rPr>
                <w:rFonts w:ascii="Calibri" w:hAnsi="Calibri" w:eastAsia="等线"/>
                <w:sz w:val="19"/>
              </w:rPr>
              <w:t>300 步约束召回 ≥95%；千步回放无损坏</w:t>
            </w:r>
          </w:p>
        </w:tc>
      </w:tr>
      <w:tr>
        <w:trPr>
          <w:cantSplit/>
        </w:trPr>
        <w:tc>
          <w:tcPr>
            <w:tcW w:type="dxa" w:w="1650"/>
            <w:tcMar>
              <w:top w:w="80" w:type="dxa"/>
              <w:start w:w="120" w:type="dxa"/>
              <w:bottom w:w="80" w:type="dxa"/>
              <w:end w:w="120" w:type="dxa"/>
            </w:tcMar>
            <w:vAlign w:val="center"/>
          </w:tcPr>
          <w:p>
            <w:pPr>
              <w:spacing w:after="40" w:line="264" w:lineRule="auto"/>
              <w:jc w:val="center"/>
            </w:pPr>
            <w:r>
              <w:rPr>
                <w:rFonts w:ascii="Calibri" w:hAnsi="Calibri" w:eastAsia="等线"/>
                <w:sz w:val="19"/>
              </w:rPr>
              <w:t>8/11-8/17</w:t>
            </w:r>
          </w:p>
        </w:tc>
        <w:tc>
          <w:tcPr>
            <w:tcW w:type="dxa" w:w="4550"/>
            <w:tcMar>
              <w:top w:w="80" w:type="dxa"/>
              <w:start w:w="120" w:type="dxa"/>
              <w:bottom w:w="80" w:type="dxa"/>
              <w:end w:w="120" w:type="dxa"/>
            </w:tcMar>
            <w:vAlign w:val="center"/>
          </w:tcPr>
          <w:p>
            <w:pPr>
              <w:spacing w:after="40" w:line="264" w:lineRule="auto"/>
            </w:pPr>
            <w:r>
              <w:rPr>
                <w:rFonts w:ascii="Calibri" w:hAnsi="Calibri" w:eastAsia="等线"/>
                <w:sz w:val="19"/>
              </w:rPr>
              <w:t>端边云调度、模型后端、故障注入与迁移</w:t>
            </w:r>
          </w:p>
        </w:tc>
        <w:tc>
          <w:tcPr>
            <w:tcW w:type="dxa" w:w="3160"/>
            <w:tcMar>
              <w:top w:w="80" w:type="dxa"/>
              <w:start w:w="120" w:type="dxa"/>
              <w:bottom w:w="80" w:type="dxa"/>
              <w:end w:w="120" w:type="dxa"/>
            </w:tcMar>
            <w:vAlign w:val="center"/>
          </w:tcPr>
          <w:p>
            <w:pPr>
              <w:spacing w:after="40" w:line="264" w:lineRule="auto"/>
            </w:pPr>
            <w:r>
              <w:rPr>
                <w:rFonts w:ascii="Calibri" w:hAnsi="Calibri" w:eastAsia="等线"/>
                <w:sz w:val="19"/>
              </w:rPr>
              <w:t>四类异常自动恢复；至少两类模型后端</w:t>
            </w:r>
          </w:p>
        </w:tc>
      </w:tr>
      <w:tr>
        <w:trPr>
          <w:cantSplit/>
        </w:trPr>
        <w:tc>
          <w:tcPr>
            <w:tcW w:type="dxa" w:w="1650"/>
            <w:tcMar>
              <w:top w:w="80" w:type="dxa"/>
              <w:start w:w="120" w:type="dxa"/>
              <w:bottom w:w="80" w:type="dxa"/>
              <w:end w:w="120" w:type="dxa"/>
            </w:tcMar>
            <w:vAlign w:val="center"/>
          </w:tcPr>
          <w:p>
            <w:pPr>
              <w:spacing w:after="40" w:line="264" w:lineRule="auto"/>
              <w:jc w:val="center"/>
            </w:pPr>
            <w:r>
              <w:rPr>
                <w:rFonts w:ascii="Calibri" w:hAnsi="Calibri" w:eastAsia="等线"/>
                <w:sz w:val="19"/>
              </w:rPr>
              <w:t>8/18-8/24</w:t>
            </w:r>
          </w:p>
        </w:tc>
        <w:tc>
          <w:tcPr>
            <w:tcW w:type="dxa" w:w="4550"/>
            <w:tcMar>
              <w:top w:w="80" w:type="dxa"/>
              <w:start w:w="120" w:type="dxa"/>
              <w:bottom w:w="80" w:type="dxa"/>
              <w:end w:w="120" w:type="dxa"/>
            </w:tcMar>
            <w:vAlign w:val="center"/>
          </w:tcPr>
          <w:p>
            <w:pPr>
              <w:spacing w:after="40" w:line="264" w:lineRule="auto"/>
            </w:pPr>
            <w:r>
              <w:rPr>
                <w:rFonts w:ascii="Calibri" w:hAnsi="Calibri" w:eastAsia="等线"/>
                <w:sz w:val="19"/>
              </w:rPr>
              <w:t>科研与软件工程 Demo、统一 Web UI、离线回放</w:t>
            </w:r>
          </w:p>
        </w:tc>
        <w:tc>
          <w:tcPr>
            <w:tcW w:type="dxa" w:w="3160"/>
            <w:tcMar>
              <w:top w:w="80" w:type="dxa"/>
              <w:start w:w="120" w:type="dxa"/>
              <w:bottom w:w="80" w:type="dxa"/>
              <w:end w:w="120" w:type="dxa"/>
            </w:tcMar>
            <w:vAlign w:val="center"/>
          </w:tcPr>
          <w:p>
            <w:pPr>
              <w:spacing w:after="40" w:line="264" w:lineRule="auto"/>
            </w:pPr>
            <w:r>
              <w:rPr>
                <w:rFonts w:ascii="Calibri" w:hAnsi="Calibri" w:eastAsia="等线"/>
                <w:sz w:val="19"/>
              </w:rPr>
              <w:t>两个 Demo 各连续成功 3 次</w:t>
            </w:r>
          </w:p>
        </w:tc>
      </w:tr>
      <w:tr>
        <w:trPr>
          <w:cantSplit/>
        </w:trPr>
        <w:tc>
          <w:tcPr>
            <w:tcW w:type="dxa" w:w="1650"/>
            <w:tcMar>
              <w:top w:w="80" w:type="dxa"/>
              <w:start w:w="120" w:type="dxa"/>
              <w:bottom w:w="80" w:type="dxa"/>
              <w:end w:w="120" w:type="dxa"/>
            </w:tcMar>
            <w:vAlign w:val="center"/>
          </w:tcPr>
          <w:p>
            <w:pPr>
              <w:spacing w:after="40" w:line="264" w:lineRule="auto"/>
              <w:jc w:val="center"/>
            </w:pPr>
            <w:r>
              <w:rPr>
                <w:rFonts w:ascii="Calibri" w:hAnsi="Calibri" w:eastAsia="等线"/>
                <w:sz w:val="19"/>
              </w:rPr>
              <w:t>8/25-8/28</w:t>
            </w:r>
          </w:p>
        </w:tc>
        <w:tc>
          <w:tcPr>
            <w:tcW w:type="dxa" w:w="4550"/>
            <w:tcMar>
              <w:top w:w="80" w:type="dxa"/>
              <w:start w:w="120" w:type="dxa"/>
              <w:bottom w:w="80" w:type="dxa"/>
              <w:end w:w="120" w:type="dxa"/>
            </w:tcMar>
            <w:vAlign w:val="center"/>
          </w:tcPr>
          <w:p>
            <w:pPr>
              <w:spacing w:after="40" w:line="264" w:lineRule="auto"/>
            </w:pPr>
            <w:r>
              <w:rPr>
                <w:rFonts w:ascii="Calibri" w:hAnsi="Calibri" w:eastAsia="等线"/>
                <w:sz w:val="19"/>
              </w:rPr>
              <w:t>基线/消融/鲁棒性实验、技术文档和部署包</w:t>
            </w:r>
          </w:p>
        </w:tc>
        <w:tc>
          <w:tcPr>
            <w:tcW w:type="dxa" w:w="3160"/>
            <w:tcMar>
              <w:top w:w="80" w:type="dxa"/>
              <w:start w:w="120" w:type="dxa"/>
              <w:bottom w:w="80" w:type="dxa"/>
              <w:end w:w="120" w:type="dxa"/>
            </w:tcMar>
            <w:vAlign w:val="center"/>
          </w:tcPr>
          <w:p>
            <w:pPr>
              <w:spacing w:after="40" w:line="264" w:lineRule="auto"/>
            </w:pPr>
            <w:r>
              <w:rPr>
                <w:rFonts w:ascii="Calibri" w:hAnsi="Calibri" w:eastAsia="等线"/>
                <w:sz w:val="19"/>
              </w:rPr>
              <w:t>所有结论有日志或实验支撑</w:t>
            </w:r>
          </w:p>
        </w:tc>
      </w:tr>
      <w:tr>
        <w:trPr>
          <w:cantSplit/>
        </w:trPr>
        <w:tc>
          <w:tcPr>
            <w:tcW w:type="dxa" w:w="1650"/>
            <w:tcMar>
              <w:top w:w="80" w:type="dxa"/>
              <w:start w:w="120" w:type="dxa"/>
              <w:bottom w:w="80" w:type="dxa"/>
              <w:end w:w="120" w:type="dxa"/>
            </w:tcMar>
            <w:vAlign w:val="center"/>
          </w:tcPr>
          <w:p>
            <w:pPr>
              <w:spacing w:after="40" w:line="264" w:lineRule="auto"/>
              <w:jc w:val="center"/>
            </w:pPr>
            <w:r>
              <w:rPr>
                <w:rFonts w:ascii="Calibri" w:hAnsi="Calibri" w:eastAsia="等线"/>
                <w:sz w:val="19"/>
              </w:rPr>
              <w:t>8/29-9/1</w:t>
            </w:r>
          </w:p>
        </w:tc>
        <w:tc>
          <w:tcPr>
            <w:tcW w:type="dxa" w:w="4550"/>
            <w:tcMar>
              <w:top w:w="80" w:type="dxa"/>
              <w:start w:w="120" w:type="dxa"/>
              <w:bottom w:w="80" w:type="dxa"/>
              <w:end w:w="120" w:type="dxa"/>
            </w:tcMar>
            <w:vAlign w:val="center"/>
          </w:tcPr>
          <w:p>
            <w:pPr>
              <w:spacing w:after="40" w:line="264" w:lineRule="auto"/>
            </w:pPr>
            <w:r>
              <w:rPr>
                <w:rFonts w:ascii="Calibri" w:hAnsi="Calibri" w:eastAsia="等线"/>
                <w:sz w:val="19"/>
              </w:rPr>
              <w:t>P0/P1 修复、答辩预演、v1.0-rc1 冻结</w:t>
            </w:r>
          </w:p>
        </w:tc>
        <w:tc>
          <w:tcPr>
            <w:tcW w:type="dxa" w:w="3160"/>
            <w:tcMar>
              <w:top w:w="80" w:type="dxa"/>
              <w:start w:w="120" w:type="dxa"/>
              <w:bottom w:w="80" w:type="dxa"/>
              <w:end w:w="120" w:type="dxa"/>
            </w:tcMar>
            <w:vAlign w:val="center"/>
          </w:tcPr>
          <w:p>
            <w:pPr>
              <w:spacing w:after="40" w:line="264" w:lineRule="auto"/>
            </w:pPr>
            <w:r>
              <w:rPr>
                <w:rFonts w:ascii="Calibri" w:hAnsi="Calibri" w:eastAsia="等线"/>
                <w:sz w:val="19"/>
              </w:rPr>
              <w:t>空环境部署成功；在线与回放均可演示</w:t>
            </w:r>
          </w:p>
        </w:tc>
      </w:tr>
      <w:tr>
        <w:trPr>
          <w:cantSplit/>
        </w:trPr>
        <w:tc>
          <w:tcPr>
            <w:tcW w:type="dxa" w:w="1650"/>
            <w:tcMar>
              <w:top w:w="80" w:type="dxa"/>
              <w:start w:w="120" w:type="dxa"/>
              <w:bottom w:w="80" w:type="dxa"/>
              <w:end w:w="120" w:type="dxa"/>
            </w:tcMar>
            <w:vAlign w:val="center"/>
          </w:tcPr>
          <w:p>
            <w:pPr>
              <w:spacing w:after="40" w:line="264" w:lineRule="auto"/>
              <w:jc w:val="center"/>
            </w:pPr>
            <w:r>
              <w:rPr>
                <w:rFonts w:ascii="Calibri" w:hAnsi="Calibri" w:eastAsia="等线"/>
                <w:sz w:val="19"/>
              </w:rPr>
              <w:t>9/2-9/15</w:t>
            </w:r>
          </w:p>
        </w:tc>
        <w:tc>
          <w:tcPr>
            <w:tcW w:type="dxa" w:w="4550"/>
            <w:tcMar>
              <w:top w:w="80" w:type="dxa"/>
              <w:start w:w="120" w:type="dxa"/>
              <w:bottom w:w="80" w:type="dxa"/>
              <w:end w:w="120" w:type="dxa"/>
            </w:tcMar>
            <w:vAlign w:val="center"/>
          </w:tcPr>
          <w:p>
            <w:pPr>
              <w:spacing w:after="40" w:line="264" w:lineRule="auto"/>
            </w:pPr>
            <w:r>
              <w:rPr>
                <w:rFonts w:ascii="Calibri" w:hAnsi="Calibri" w:eastAsia="等线"/>
                <w:sz w:val="19"/>
              </w:rPr>
              <w:t>长稳测试、材料评审、视频、盖章和提交</w:t>
            </w:r>
          </w:p>
        </w:tc>
        <w:tc>
          <w:tcPr>
            <w:tcW w:type="dxa" w:w="3160"/>
            <w:tcMar>
              <w:top w:w="80" w:type="dxa"/>
              <w:start w:w="120" w:type="dxa"/>
              <w:bottom w:w="80" w:type="dxa"/>
              <w:end w:w="120" w:type="dxa"/>
            </w:tcMar>
            <w:vAlign w:val="center"/>
          </w:tcPr>
          <w:p>
            <w:pPr>
              <w:spacing w:after="40" w:line="264" w:lineRule="auto"/>
            </w:pPr>
            <w:r>
              <w:rPr>
                <w:rFonts w:ascii="Calibri" w:hAnsi="Calibri" w:eastAsia="等线"/>
                <w:sz w:val="19"/>
              </w:rPr>
              <w:t>9/12 内部截止；最迟 9/14 发送</w:t>
            </w:r>
          </w:p>
        </w:tc>
      </w:tr>
    </w:tbl>
    <w:p>
      <w:pPr>
        <w:spacing w:after="0"/>
      </w:pPr>
    </w:p>
    <w:p>
      <w:pPr>
        <w:pStyle w:val="Heading1"/>
      </w:pPr>
      <w:r>
        <w:t>9. MVP、冲刺项与取舍</w:t>
      </w:r>
    </w:p>
    <w:p>
      <w:pPr>
        <w:pStyle w:val="Heading2"/>
      </w:pPr>
      <w:r>
        <w:t>9.1 必须完成（MVP）</w:t>
      </w:r>
    </w:p>
    <w:p>
      <w:pPr>
        <w:pStyle w:val="ListBullet"/>
      </w:pPr>
      <w:r>
        <w:t>持久化任务 DAG、事件日志、checkpoint/resume 和幂等执行。</w:t>
      </w:r>
    </w:p>
    <w:p>
      <w:pPr>
        <w:pStyle w:val="ListBullet"/>
      </w:pPr>
      <w:r>
        <w:t>异构角色注册、动态 Top-k 路由、结构化消息和通信指标。</w:t>
      </w:r>
    </w:p>
    <w:p>
      <w:pPr>
        <w:pStyle w:val="ListBullet"/>
      </w:pPr>
      <w:r>
        <w:t>分层记忆、来源追溯、关键约束召回和目标漂移检查。</w:t>
      </w:r>
    </w:p>
    <w:p>
      <w:pPr>
        <w:pStyle w:val="ListBullet"/>
      </w:pPr>
      <w:r>
        <w:t>端边云请求级调度、隐私硬约束、故障迁移和 placement 可视化。</w:t>
      </w:r>
    </w:p>
    <w:p>
      <w:pPr>
        <w:pStyle w:val="ListBullet"/>
      </w:pPr>
      <w:r>
        <w:t>科研与软件工程两个跨域 Demo，在线运行与离线回放双保障。</w:t>
      </w:r>
    </w:p>
    <w:p>
      <w:pPr>
        <w:pStyle w:val="ListBullet"/>
      </w:pPr>
      <w:r>
        <w:t>基线、消融、鲁棒性、Token/时间效率实验及完整技术材料。</w:t>
      </w:r>
    </w:p>
    <w:p>
      <w:pPr>
        <w:pStyle w:val="Heading2"/>
      </w:pPr>
      <w:r>
        <w:t>9.2 有余力再做（Stretch）</w:t>
      </w:r>
    </w:p>
    <w:p>
      <w:pPr>
        <w:pStyle w:val="ListBullet"/>
      </w:pPr>
      <w:r>
        <w:t>Contextual bandit 或强化学习路由器。</w:t>
      </w:r>
    </w:p>
    <w:p>
      <w:pPr>
        <w:pStyle w:val="ListBullet"/>
      </w:pPr>
      <w:r>
        <w:t>真实荣耀终端/NPU 部署与神经网络层级切分。</w:t>
      </w:r>
    </w:p>
    <w:p>
      <w:pPr>
        <w:pStyle w:val="ListBullet"/>
      </w:pPr>
      <w:r>
        <w:t>基于历史轨迹训练记忆压缩或路由模型。</w:t>
      </w:r>
    </w:p>
    <w:p>
      <w:pPr>
        <w:pStyle w:val="ListBullet"/>
      </w:pPr>
      <w:r>
        <w:t>第三个产业场景或公开高质量长轨迹数据集。</w:t>
      </w:r>
    </w:p>
    <w:p>
      <w:pPr>
        <w:pStyle w:val="Heading1"/>
      </w:pPr>
      <w:r>
        <w:t>10. 评测体系</w:t>
      </w:r>
    </w:p>
    <w:tbl>
      <w:tblPr>
        <w:tblStyle w:val="TableGrid"/>
        <w:tblW w:type="dxa" w:w="9360"/>
        <w:jc w:val="left"/>
        <w:tblLayout w:type="fixed"/>
        <w:tblLook w:firstColumn="1" w:firstRow="1" w:lastColumn="0" w:lastRow="0" w:noHBand="0" w:noVBand="1" w:val="04A0"/>
        <w:tblInd w:w="120" w:type="dxa"/>
      </w:tblPr>
      <w:tblGrid>
        <w:gridCol w:w="1900"/>
        <w:gridCol w:w="3900"/>
        <w:gridCol w:w="3560"/>
      </w:tblGrid>
      <w:tr>
        <w:trPr>
          <w:tblHeader/>
          <w:cantSplit/>
        </w:trPr>
        <w:tc>
          <w:tcPr>
            <w:tcW w:type="dxa" w:w="19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实验</w:t>
            </w:r>
          </w:p>
        </w:tc>
        <w:tc>
          <w:tcPr>
            <w:tcW w:type="dxa" w:w="39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对照</w:t>
            </w:r>
          </w:p>
        </w:tc>
        <w:tc>
          <w:tcPr>
            <w:tcW w:type="dxa" w:w="356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指标</w:t>
            </w:r>
          </w:p>
        </w:tc>
      </w:tr>
      <w:tr>
        <w:trPr>
          <w:cantSplit/>
        </w:trPr>
        <w:tc>
          <w:tcPr>
            <w:tcW w:type="dxa" w:w="1900"/>
            <w:tcMar>
              <w:top w:w="80" w:type="dxa"/>
              <w:start w:w="120" w:type="dxa"/>
              <w:bottom w:w="80" w:type="dxa"/>
              <w:end w:w="120" w:type="dxa"/>
            </w:tcMar>
            <w:vAlign w:val="center"/>
          </w:tcPr>
          <w:p>
            <w:pPr>
              <w:spacing w:after="40" w:line="264" w:lineRule="auto"/>
              <w:jc w:val="center"/>
            </w:pPr>
            <w:r>
              <w:rPr>
                <w:rFonts w:ascii="Calibri" w:hAnsi="Calibri" w:eastAsia="等线"/>
                <w:sz w:val="19"/>
              </w:rPr>
              <w:t>动态拓扑</w:t>
            </w:r>
          </w:p>
        </w:tc>
        <w:tc>
          <w:tcPr>
            <w:tcW w:type="dxa" w:w="3900"/>
            <w:tcMar>
              <w:top w:w="80" w:type="dxa"/>
              <w:start w:w="120" w:type="dxa"/>
              <w:bottom w:w="80" w:type="dxa"/>
              <w:end w:w="120" w:type="dxa"/>
            </w:tcMar>
            <w:vAlign w:val="center"/>
          </w:tcPr>
          <w:p>
            <w:pPr>
              <w:spacing w:after="40" w:line="264" w:lineRule="auto"/>
            </w:pPr>
            <w:r>
              <w:rPr>
                <w:rFonts w:ascii="Calibri" w:hAnsi="Calibri" w:eastAsia="等线"/>
                <w:sz w:val="19"/>
              </w:rPr>
              <w:t>单 Agent / 静态全连接 / 动态 Top-k</w:t>
            </w:r>
          </w:p>
        </w:tc>
        <w:tc>
          <w:tcPr>
            <w:tcW w:type="dxa" w:w="3560"/>
            <w:tcMar>
              <w:top w:w="80" w:type="dxa"/>
              <w:start w:w="120" w:type="dxa"/>
              <w:bottom w:w="80" w:type="dxa"/>
              <w:end w:w="120" w:type="dxa"/>
            </w:tcMar>
            <w:vAlign w:val="center"/>
          </w:tcPr>
          <w:p>
            <w:pPr>
              <w:spacing w:after="40" w:line="264" w:lineRule="auto"/>
            </w:pPr>
            <w:r>
              <w:rPr>
                <w:rFonts w:ascii="Calibri" w:hAnsi="Calibri" w:eastAsia="等线"/>
                <w:sz w:val="19"/>
              </w:rPr>
              <w:t>完成率、质量、Token、消息数、耗时</w:t>
            </w:r>
          </w:p>
        </w:tc>
      </w:tr>
      <w:tr>
        <w:trPr>
          <w:cantSplit/>
        </w:trPr>
        <w:tc>
          <w:tcPr>
            <w:tcW w:type="dxa" w:w="1900"/>
            <w:tcMar>
              <w:top w:w="80" w:type="dxa"/>
              <w:start w:w="120" w:type="dxa"/>
              <w:bottom w:w="80" w:type="dxa"/>
              <w:end w:w="120" w:type="dxa"/>
            </w:tcMar>
            <w:vAlign w:val="center"/>
          </w:tcPr>
          <w:p>
            <w:pPr>
              <w:spacing w:after="40" w:line="264" w:lineRule="auto"/>
              <w:jc w:val="center"/>
            </w:pPr>
            <w:r>
              <w:rPr>
                <w:rFonts w:ascii="Calibri" w:hAnsi="Calibri" w:eastAsia="等线"/>
                <w:sz w:val="19"/>
              </w:rPr>
              <w:t>分层记忆</w:t>
            </w:r>
          </w:p>
        </w:tc>
        <w:tc>
          <w:tcPr>
            <w:tcW w:type="dxa" w:w="3900"/>
            <w:tcMar>
              <w:top w:w="80" w:type="dxa"/>
              <w:start w:w="120" w:type="dxa"/>
              <w:bottom w:w="80" w:type="dxa"/>
              <w:end w:w="120" w:type="dxa"/>
            </w:tcMar>
            <w:vAlign w:val="center"/>
          </w:tcPr>
          <w:p>
            <w:pPr>
              <w:spacing w:after="40" w:line="264" w:lineRule="auto"/>
            </w:pPr>
            <w:r>
              <w:rPr>
                <w:rFonts w:ascii="Calibri" w:hAnsi="Calibri" w:eastAsia="等线"/>
                <w:sz w:val="19"/>
              </w:rPr>
              <w:t>长上下文 / 滚动摘要 / 分层记忆</w:t>
            </w:r>
          </w:p>
        </w:tc>
        <w:tc>
          <w:tcPr>
            <w:tcW w:type="dxa" w:w="3560"/>
            <w:tcMar>
              <w:top w:w="80" w:type="dxa"/>
              <w:start w:w="120" w:type="dxa"/>
              <w:bottom w:w="80" w:type="dxa"/>
              <w:end w:w="120" w:type="dxa"/>
            </w:tcMar>
            <w:vAlign w:val="center"/>
          </w:tcPr>
          <w:p>
            <w:pPr>
              <w:spacing w:after="40" w:line="264" w:lineRule="auto"/>
            </w:pPr>
            <w:r>
              <w:rPr>
                <w:rFonts w:ascii="Calibri" w:hAnsi="Calibri" w:eastAsia="等线"/>
                <w:sz w:val="19"/>
              </w:rPr>
              <w:t>约束召回、目标漂移、完成率</w:t>
            </w:r>
          </w:p>
        </w:tc>
      </w:tr>
      <w:tr>
        <w:trPr>
          <w:cantSplit/>
        </w:trPr>
        <w:tc>
          <w:tcPr>
            <w:tcW w:type="dxa" w:w="1900"/>
            <w:tcMar>
              <w:top w:w="80" w:type="dxa"/>
              <w:start w:w="120" w:type="dxa"/>
              <w:bottom w:w="80" w:type="dxa"/>
              <w:end w:w="120" w:type="dxa"/>
            </w:tcMar>
            <w:vAlign w:val="center"/>
          </w:tcPr>
          <w:p>
            <w:pPr>
              <w:spacing w:after="40" w:line="264" w:lineRule="auto"/>
              <w:jc w:val="center"/>
            </w:pPr>
            <w:r>
              <w:rPr>
                <w:rFonts w:ascii="Calibri" w:hAnsi="Calibri" w:eastAsia="等线"/>
                <w:sz w:val="19"/>
              </w:rPr>
              <w:t>故障恢复</w:t>
            </w:r>
          </w:p>
        </w:tc>
        <w:tc>
          <w:tcPr>
            <w:tcW w:type="dxa" w:w="3900"/>
            <w:tcMar>
              <w:top w:w="80" w:type="dxa"/>
              <w:start w:w="120" w:type="dxa"/>
              <w:bottom w:w="80" w:type="dxa"/>
              <w:end w:w="120" w:type="dxa"/>
            </w:tcMar>
            <w:vAlign w:val="center"/>
          </w:tcPr>
          <w:p>
            <w:pPr>
              <w:spacing w:after="40" w:line="264" w:lineRule="auto"/>
            </w:pPr>
            <w:r>
              <w:rPr>
                <w:rFonts w:ascii="Calibri" w:hAnsi="Calibri" w:eastAsia="等线"/>
                <w:sz w:val="19"/>
              </w:rPr>
              <w:t>无恢复 / 重试 / 重规划+替换</w:t>
            </w:r>
          </w:p>
        </w:tc>
        <w:tc>
          <w:tcPr>
            <w:tcW w:type="dxa" w:w="3560"/>
            <w:tcMar>
              <w:top w:w="80" w:type="dxa"/>
              <w:start w:w="120" w:type="dxa"/>
              <w:bottom w:w="80" w:type="dxa"/>
              <w:end w:w="120" w:type="dxa"/>
            </w:tcMar>
            <w:vAlign w:val="center"/>
          </w:tcPr>
          <w:p>
            <w:pPr>
              <w:spacing w:after="40" w:line="264" w:lineRule="auto"/>
            </w:pPr>
            <w:r>
              <w:rPr>
                <w:rFonts w:ascii="Calibri" w:hAnsi="Calibri" w:eastAsia="等线"/>
                <w:sz w:val="19"/>
              </w:rPr>
              <w:t>恢复率、恢复时间、额外成本</w:t>
            </w:r>
          </w:p>
        </w:tc>
      </w:tr>
      <w:tr>
        <w:trPr>
          <w:cantSplit/>
        </w:trPr>
        <w:tc>
          <w:tcPr>
            <w:tcW w:type="dxa" w:w="1900"/>
            <w:tcMar>
              <w:top w:w="80" w:type="dxa"/>
              <w:start w:w="120" w:type="dxa"/>
              <w:bottom w:w="80" w:type="dxa"/>
              <w:end w:w="120" w:type="dxa"/>
            </w:tcMar>
            <w:vAlign w:val="center"/>
          </w:tcPr>
          <w:p>
            <w:pPr>
              <w:spacing w:after="40" w:line="264" w:lineRule="auto"/>
              <w:jc w:val="center"/>
            </w:pPr>
            <w:r>
              <w:rPr>
                <w:rFonts w:ascii="Calibri" w:hAnsi="Calibri" w:eastAsia="等线"/>
                <w:sz w:val="19"/>
              </w:rPr>
              <w:t>端边云调度</w:t>
            </w:r>
          </w:p>
        </w:tc>
        <w:tc>
          <w:tcPr>
            <w:tcW w:type="dxa" w:w="3900"/>
            <w:tcMar>
              <w:top w:w="80" w:type="dxa"/>
              <w:start w:w="120" w:type="dxa"/>
              <w:bottom w:w="80" w:type="dxa"/>
              <w:end w:w="120" w:type="dxa"/>
            </w:tcMar>
            <w:vAlign w:val="center"/>
          </w:tcPr>
          <w:p>
            <w:pPr>
              <w:spacing w:after="40" w:line="264" w:lineRule="auto"/>
            </w:pPr>
            <w:r>
              <w:rPr>
                <w:rFonts w:ascii="Calibri" w:hAnsi="Calibri" w:eastAsia="等线"/>
                <w:sz w:val="19"/>
              </w:rPr>
              <w:t>全云 / 静态 placement / 自适应</w:t>
            </w:r>
          </w:p>
        </w:tc>
        <w:tc>
          <w:tcPr>
            <w:tcW w:type="dxa" w:w="3560"/>
            <w:tcMar>
              <w:top w:w="80" w:type="dxa"/>
              <w:start w:w="120" w:type="dxa"/>
              <w:bottom w:w="80" w:type="dxa"/>
              <w:end w:w="120" w:type="dxa"/>
            </w:tcMar>
            <w:vAlign w:val="center"/>
          </w:tcPr>
          <w:p>
            <w:pPr>
              <w:spacing w:after="40" w:line="264" w:lineRule="auto"/>
            </w:pPr>
            <w:r>
              <w:rPr>
                <w:rFonts w:ascii="Calibri" w:hAnsi="Calibri" w:eastAsia="等线"/>
                <w:sz w:val="19"/>
              </w:rPr>
              <w:t>成本、P95 时延、质量、隐私违规数</w:t>
            </w:r>
          </w:p>
        </w:tc>
      </w:tr>
      <w:tr>
        <w:trPr>
          <w:cantSplit/>
        </w:trPr>
        <w:tc>
          <w:tcPr>
            <w:tcW w:type="dxa" w:w="1900"/>
            <w:tcMar>
              <w:top w:w="80" w:type="dxa"/>
              <w:start w:w="120" w:type="dxa"/>
              <w:bottom w:w="80" w:type="dxa"/>
              <w:end w:w="120" w:type="dxa"/>
            </w:tcMar>
            <w:vAlign w:val="center"/>
          </w:tcPr>
          <w:p>
            <w:pPr>
              <w:spacing w:after="40" w:line="264" w:lineRule="auto"/>
              <w:jc w:val="center"/>
            </w:pPr>
            <w:r>
              <w:rPr>
                <w:rFonts w:ascii="Calibri" w:hAnsi="Calibri" w:eastAsia="等线"/>
                <w:sz w:val="19"/>
              </w:rPr>
              <w:t>跨域泛化</w:t>
            </w:r>
          </w:p>
        </w:tc>
        <w:tc>
          <w:tcPr>
            <w:tcW w:type="dxa" w:w="3900"/>
            <w:tcMar>
              <w:top w:w="80" w:type="dxa"/>
              <w:start w:w="120" w:type="dxa"/>
              <w:bottom w:w="80" w:type="dxa"/>
              <w:end w:w="120" w:type="dxa"/>
            </w:tcMar>
            <w:vAlign w:val="center"/>
          </w:tcPr>
          <w:p>
            <w:pPr>
              <w:spacing w:after="40" w:line="264" w:lineRule="auto"/>
            </w:pPr>
            <w:r>
              <w:rPr>
                <w:rFonts w:ascii="Calibri" w:hAnsi="Calibri" w:eastAsia="等线"/>
                <w:sz w:val="19"/>
              </w:rPr>
              <w:t>科研 / 软件工程</w:t>
            </w:r>
          </w:p>
        </w:tc>
        <w:tc>
          <w:tcPr>
            <w:tcW w:type="dxa" w:w="3560"/>
            <w:tcMar>
              <w:top w:w="80" w:type="dxa"/>
              <w:start w:w="120" w:type="dxa"/>
              <w:bottom w:w="80" w:type="dxa"/>
              <w:end w:w="120" w:type="dxa"/>
            </w:tcMar>
            <w:vAlign w:val="center"/>
          </w:tcPr>
          <w:p>
            <w:pPr>
              <w:spacing w:after="40" w:line="264" w:lineRule="auto"/>
            </w:pPr>
            <w:r>
              <w:rPr>
                <w:rFonts w:ascii="Calibri" w:hAnsi="Calibri" w:eastAsia="等线"/>
                <w:sz w:val="19"/>
              </w:rPr>
              <w:t>端到端完成率、人工干预次数</w:t>
            </w:r>
          </w:p>
        </w:tc>
      </w:tr>
    </w:tbl>
    <w:p>
      <w:pPr>
        <w:spacing w:after="0"/>
      </w:pPr>
    </w:p>
    <w:p>
      <w:r>
        <w:t>统一记录 task_success、quality_score、constraint_recall、tokens_total、messages_total、wall_time、recovery_rate、human_interventions、cost_estimate、placement 和 migration_count。每种关键方案至少运行 5-10 次，报告均值、标准差和失败案例，不只展示最好结果。</w:t>
      </w:r>
    </w:p>
    <w:p>
      <w:pPr>
        <w:pStyle w:val="Heading1"/>
      </w:pPr>
      <w:r>
        <w:t>11. 风险与应对</w:t>
      </w:r>
    </w:p>
    <w:tbl>
      <w:tblPr>
        <w:tblStyle w:val="TableGrid"/>
        <w:tblW w:type="dxa" w:w="9360"/>
        <w:jc w:val="left"/>
        <w:tblLayout w:type="fixed"/>
        <w:tblLook w:firstColumn="1" w:firstRow="1" w:lastColumn="0" w:lastRow="0" w:noHBand="0" w:noVBand="1" w:val="04A0"/>
        <w:tblInd w:w="120" w:type="dxa"/>
      </w:tblPr>
      <w:tblGrid>
        <w:gridCol w:w="2100"/>
        <w:gridCol w:w="2900"/>
        <w:gridCol w:w="4360"/>
      </w:tblGrid>
      <w:tr>
        <w:trPr>
          <w:tblHeader/>
          <w:cantSplit/>
        </w:trPr>
        <w:tc>
          <w:tcPr>
            <w:tcW w:type="dxa" w:w="21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风险</w:t>
            </w:r>
          </w:p>
        </w:tc>
        <w:tc>
          <w:tcPr>
            <w:tcW w:type="dxa" w:w="290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影响</w:t>
            </w:r>
          </w:p>
        </w:tc>
        <w:tc>
          <w:tcPr>
            <w:tcW w:type="dxa" w:w="4360"/>
            <w:shd w:fill="F4F6F9"/>
            <w:tcMar>
              <w:top w:w="80" w:type="dxa"/>
              <w:start w:w="120" w:type="dxa"/>
              <w:bottom w:w="80" w:type="dxa"/>
              <w:end w:w="120" w:type="dxa"/>
            </w:tcMar>
            <w:vAlign w:val="center"/>
          </w:tcPr>
          <w:p>
            <w:pPr>
              <w:spacing w:after="40"/>
              <w:jc w:val="center"/>
            </w:pPr>
            <w:r>
              <w:rPr>
                <w:rFonts w:ascii="Calibri" w:hAnsi="Calibri" w:eastAsia="等线"/>
                <w:b/>
                <w:color w:val="1F4D78"/>
                <w:sz w:val="19"/>
              </w:rPr>
              <w:t>应对</w:t>
            </w:r>
          </w:p>
        </w:tc>
      </w:tr>
      <w:tr>
        <w:trPr>
          <w:cantSplit/>
        </w:trPr>
        <w:tc>
          <w:tcPr>
            <w:tcW w:type="dxa" w:w="2100"/>
            <w:tcMar>
              <w:top w:w="80" w:type="dxa"/>
              <w:start w:w="120" w:type="dxa"/>
              <w:bottom w:w="80" w:type="dxa"/>
              <w:end w:w="120" w:type="dxa"/>
            </w:tcMar>
            <w:vAlign w:val="center"/>
          </w:tcPr>
          <w:p>
            <w:pPr>
              <w:spacing w:after="40" w:line="264" w:lineRule="auto"/>
              <w:jc w:val="center"/>
            </w:pPr>
            <w:r>
              <w:rPr>
                <w:rFonts w:ascii="Calibri" w:hAnsi="Calibri" w:eastAsia="等线"/>
                <w:sz w:val="19"/>
              </w:rPr>
              <w:t>报名窗口已关闭</w:t>
            </w:r>
          </w:p>
        </w:tc>
        <w:tc>
          <w:tcPr>
            <w:tcW w:type="dxa" w:w="2900"/>
            <w:tcMar>
              <w:top w:w="80" w:type="dxa"/>
              <w:start w:w="120" w:type="dxa"/>
              <w:bottom w:w="80" w:type="dxa"/>
              <w:end w:w="120" w:type="dxa"/>
            </w:tcMar>
            <w:vAlign w:val="center"/>
          </w:tcPr>
          <w:p>
            <w:pPr>
              <w:spacing w:after="40" w:line="264" w:lineRule="auto"/>
            </w:pPr>
            <w:r>
              <w:rPr>
                <w:rFonts w:ascii="Calibri" w:hAnsi="Calibri" w:eastAsia="等线"/>
                <w:sz w:val="19"/>
              </w:rPr>
              <w:t>可能失去参赛资格</w:t>
            </w:r>
          </w:p>
        </w:tc>
        <w:tc>
          <w:tcPr>
            <w:tcW w:type="dxa" w:w="4360"/>
            <w:tcMar>
              <w:top w:w="80" w:type="dxa"/>
              <w:start w:w="120" w:type="dxa"/>
              <w:bottom w:w="80" w:type="dxa"/>
              <w:end w:w="120" w:type="dxa"/>
            </w:tcMar>
            <w:vAlign w:val="center"/>
          </w:tcPr>
          <w:p>
            <w:pPr>
              <w:spacing w:after="40" w:line="264" w:lineRule="auto"/>
            </w:pPr>
            <w:r>
              <w:rPr>
                <w:rFonts w:ascii="Calibri" w:hAnsi="Calibri" w:eastAsia="等线"/>
                <w:sz w:val="19"/>
              </w:rPr>
              <w:t>立即确认是否已在 6 月 30 日前报名；否则联系赛事方询问补救</w:t>
            </w:r>
          </w:p>
        </w:tc>
      </w:tr>
      <w:tr>
        <w:trPr>
          <w:cantSplit/>
        </w:trPr>
        <w:tc>
          <w:tcPr>
            <w:tcW w:type="dxa" w:w="2100"/>
            <w:tcMar>
              <w:top w:w="80" w:type="dxa"/>
              <w:start w:w="120" w:type="dxa"/>
              <w:bottom w:w="80" w:type="dxa"/>
              <w:end w:w="120" w:type="dxa"/>
            </w:tcMar>
            <w:vAlign w:val="center"/>
          </w:tcPr>
          <w:p>
            <w:pPr>
              <w:spacing w:after="40" w:line="264" w:lineRule="auto"/>
              <w:jc w:val="center"/>
            </w:pPr>
            <w:r>
              <w:rPr>
                <w:rFonts w:ascii="Calibri" w:hAnsi="Calibri" w:eastAsia="等线"/>
                <w:sz w:val="19"/>
              </w:rPr>
              <w:t>范围过大</w:t>
            </w:r>
          </w:p>
        </w:tc>
        <w:tc>
          <w:tcPr>
            <w:tcW w:type="dxa" w:w="2900"/>
            <w:tcMar>
              <w:top w:w="80" w:type="dxa"/>
              <w:start w:w="120" w:type="dxa"/>
              <w:bottom w:w="80" w:type="dxa"/>
              <w:end w:w="120" w:type="dxa"/>
            </w:tcMar>
            <w:vAlign w:val="center"/>
          </w:tcPr>
          <w:p>
            <w:pPr>
              <w:spacing w:after="40" w:line="264" w:lineRule="auto"/>
            </w:pPr>
            <w:r>
              <w:rPr>
                <w:rFonts w:ascii="Calibri" w:hAnsi="Calibri" w:eastAsia="等线"/>
                <w:sz w:val="19"/>
              </w:rPr>
              <w:t>核心链路无法按时闭环</w:t>
            </w:r>
          </w:p>
        </w:tc>
        <w:tc>
          <w:tcPr>
            <w:tcW w:type="dxa" w:w="4360"/>
            <w:tcMar>
              <w:top w:w="80" w:type="dxa"/>
              <w:start w:w="120" w:type="dxa"/>
              <w:bottom w:w="80" w:type="dxa"/>
              <w:end w:w="120" w:type="dxa"/>
            </w:tcMar>
            <w:vAlign w:val="center"/>
          </w:tcPr>
          <w:p>
            <w:pPr>
              <w:spacing w:after="40" w:line="264" w:lineRule="auto"/>
            </w:pPr>
            <w:r>
              <w:rPr>
                <w:rFonts w:ascii="Calibri" w:hAnsi="Calibri" w:eastAsia="等线"/>
                <w:sz w:val="19"/>
              </w:rPr>
              <w:t>MVP 优先；真实端侧切分和学习型路由列为 Stretch</w:t>
            </w:r>
          </w:p>
        </w:tc>
      </w:tr>
      <w:tr>
        <w:trPr>
          <w:cantSplit/>
        </w:trPr>
        <w:tc>
          <w:tcPr>
            <w:tcW w:type="dxa" w:w="2100"/>
            <w:tcMar>
              <w:top w:w="80" w:type="dxa"/>
              <w:start w:w="120" w:type="dxa"/>
              <w:bottom w:w="80" w:type="dxa"/>
              <w:end w:w="120" w:type="dxa"/>
            </w:tcMar>
            <w:vAlign w:val="center"/>
          </w:tcPr>
          <w:p>
            <w:pPr>
              <w:spacing w:after="40" w:line="264" w:lineRule="auto"/>
              <w:jc w:val="center"/>
            </w:pPr>
            <w:r>
              <w:rPr>
                <w:rFonts w:ascii="Calibri" w:hAnsi="Calibri" w:eastAsia="等线"/>
                <w:sz w:val="19"/>
              </w:rPr>
              <w:t>原创性不足</w:t>
            </w:r>
          </w:p>
        </w:tc>
        <w:tc>
          <w:tcPr>
            <w:tcW w:type="dxa" w:w="2900"/>
            <w:tcMar>
              <w:top w:w="80" w:type="dxa"/>
              <w:start w:w="120" w:type="dxa"/>
              <w:bottom w:w="80" w:type="dxa"/>
              <w:end w:w="120" w:type="dxa"/>
            </w:tcMar>
            <w:vAlign w:val="center"/>
          </w:tcPr>
          <w:p>
            <w:pPr>
              <w:spacing w:after="40" w:line="264" w:lineRule="auto"/>
            </w:pPr>
            <w:r>
              <w:rPr>
                <w:rFonts w:ascii="Calibri" w:hAnsi="Calibri" w:eastAsia="等线"/>
                <w:sz w:val="19"/>
              </w:rPr>
              <w:t>技术创新项失分</w:t>
            </w:r>
          </w:p>
        </w:tc>
        <w:tc>
          <w:tcPr>
            <w:tcW w:type="dxa" w:w="4360"/>
            <w:tcMar>
              <w:top w:w="80" w:type="dxa"/>
              <w:start w:w="120" w:type="dxa"/>
              <w:bottom w:w="80" w:type="dxa"/>
              <w:end w:w="120" w:type="dxa"/>
            </w:tcMar>
            <w:vAlign w:val="center"/>
          </w:tcPr>
          <w:p>
            <w:pPr>
              <w:spacing w:after="40" w:line="264" w:lineRule="auto"/>
            </w:pPr>
            <w:r>
              <w:rPr>
                <w:rFonts w:ascii="Calibri" w:hAnsi="Calibri" w:eastAsia="等线"/>
                <w:sz w:val="19"/>
              </w:rPr>
              <w:t>明确上游/自研边界；集中创新路由、记忆、恢复、调度与评测</w:t>
            </w:r>
          </w:p>
        </w:tc>
      </w:tr>
      <w:tr>
        <w:trPr>
          <w:cantSplit/>
        </w:trPr>
        <w:tc>
          <w:tcPr>
            <w:tcW w:type="dxa" w:w="2100"/>
            <w:tcMar>
              <w:top w:w="80" w:type="dxa"/>
              <w:start w:w="120" w:type="dxa"/>
              <w:bottom w:w="80" w:type="dxa"/>
              <w:end w:w="120" w:type="dxa"/>
            </w:tcMar>
            <w:vAlign w:val="center"/>
          </w:tcPr>
          <w:p>
            <w:pPr>
              <w:spacing w:after="40" w:line="264" w:lineRule="auto"/>
              <w:jc w:val="center"/>
            </w:pPr>
            <w:r>
              <w:rPr>
                <w:rFonts w:ascii="Calibri" w:hAnsi="Calibri" w:eastAsia="等线"/>
                <w:sz w:val="19"/>
              </w:rPr>
              <w:t>千步表述夸大</w:t>
            </w:r>
          </w:p>
        </w:tc>
        <w:tc>
          <w:tcPr>
            <w:tcW w:type="dxa" w:w="2900"/>
            <w:tcMar>
              <w:top w:w="80" w:type="dxa"/>
              <w:start w:w="120" w:type="dxa"/>
              <w:bottom w:w="80" w:type="dxa"/>
              <w:end w:w="120" w:type="dxa"/>
            </w:tcMar>
            <w:vAlign w:val="center"/>
          </w:tcPr>
          <w:p>
            <w:pPr>
              <w:spacing w:after="40" w:line="264" w:lineRule="auto"/>
            </w:pPr>
            <w:r>
              <w:rPr>
                <w:rFonts w:ascii="Calibri" w:hAnsi="Calibri" w:eastAsia="等线"/>
                <w:sz w:val="19"/>
              </w:rPr>
              <w:t>答辩可信度受损</w:t>
            </w:r>
          </w:p>
        </w:tc>
        <w:tc>
          <w:tcPr>
            <w:tcW w:type="dxa" w:w="4360"/>
            <w:tcMar>
              <w:top w:w="80" w:type="dxa"/>
              <w:start w:w="120" w:type="dxa"/>
              <w:bottom w:w="80" w:type="dxa"/>
              <w:end w:w="120" w:type="dxa"/>
            </w:tcMar>
            <w:vAlign w:val="center"/>
          </w:tcPr>
          <w:p>
            <w:pPr>
              <w:spacing w:after="40" w:line="264" w:lineRule="auto"/>
            </w:pPr>
            <w:r>
              <w:rPr>
                <w:rFonts w:ascii="Calibri" w:hAnsi="Calibri" w:eastAsia="等线"/>
                <w:sz w:val="19"/>
              </w:rPr>
              <w:t>区分 LLM 步、工具步和回放步，完整披露实验口径</w:t>
            </w:r>
          </w:p>
        </w:tc>
      </w:tr>
      <w:tr>
        <w:trPr>
          <w:cantSplit/>
        </w:trPr>
        <w:tc>
          <w:tcPr>
            <w:tcW w:type="dxa" w:w="2100"/>
            <w:tcMar>
              <w:top w:w="80" w:type="dxa"/>
              <w:start w:w="120" w:type="dxa"/>
              <w:bottom w:w="80" w:type="dxa"/>
              <w:end w:w="120" w:type="dxa"/>
            </w:tcMar>
            <w:vAlign w:val="center"/>
          </w:tcPr>
          <w:p>
            <w:pPr>
              <w:spacing w:after="40" w:line="264" w:lineRule="auto"/>
              <w:jc w:val="center"/>
            </w:pPr>
            <w:r>
              <w:rPr>
                <w:rFonts w:ascii="Calibri" w:hAnsi="Calibri" w:eastAsia="等线"/>
                <w:sz w:val="19"/>
              </w:rPr>
              <w:t>现场模型/网络波动</w:t>
            </w:r>
          </w:p>
        </w:tc>
        <w:tc>
          <w:tcPr>
            <w:tcW w:type="dxa" w:w="2900"/>
            <w:tcMar>
              <w:top w:w="80" w:type="dxa"/>
              <w:start w:w="120" w:type="dxa"/>
              <w:bottom w:w="80" w:type="dxa"/>
              <w:end w:w="120" w:type="dxa"/>
            </w:tcMar>
            <w:vAlign w:val="center"/>
          </w:tcPr>
          <w:p>
            <w:pPr>
              <w:spacing w:after="40" w:line="264" w:lineRule="auto"/>
            </w:pPr>
            <w:r>
              <w:rPr>
                <w:rFonts w:ascii="Calibri" w:hAnsi="Calibri" w:eastAsia="等线"/>
                <w:sz w:val="19"/>
              </w:rPr>
              <w:t>演示中断</w:t>
            </w:r>
          </w:p>
        </w:tc>
        <w:tc>
          <w:tcPr>
            <w:tcW w:type="dxa" w:w="4360"/>
            <w:tcMar>
              <w:top w:w="80" w:type="dxa"/>
              <w:start w:w="120" w:type="dxa"/>
              <w:bottom w:w="80" w:type="dxa"/>
              <w:end w:w="120" w:type="dxa"/>
            </w:tcMar>
            <w:vAlign w:val="center"/>
          </w:tcPr>
          <w:p>
            <w:pPr>
              <w:spacing w:after="40" w:line="264" w:lineRule="auto"/>
            </w:pPr>
            <w:r>
              <w:rPr>
                <w:rFonts w:ascii="Calibri" w:hAnsi="Calibri" w:eastAsia="等线"/>
                <w:sz w:val="19"/>
              </w:rPr>
              <w:t>在线实跑、固定缓存回放、预录视频三层保障</w:t>
            </w:r>
          </w:p>
        </w:tc>
      </w:tr>
      <w:tr>
        <w:trPr>
          <w:cantSplit/>
        </w:trPr>
        <w:tc>
          <w:tcPr>
            <w:tcW w:type="dxa" w:w="2100"/>
            <w:tcMar>
              <w:top w:w="80" w:type="dxa"/>
              <w:start w:w="120" w:type="dxa"/>
              <w:bottom w:w="80" w:type="dxa"/>
              <w:end w:w="120" w:type="dxa"/>
            </w:tcMar>
            <w:vAlign w:val="center"/>
          </w:tcPr>
          <w:p>
            <w:pPr>
              <w:spacing w:after="40" w:line="264" w:lineRule="auto"/>
              <w:jc w:val="center"/>
            </w:pPr>
            <w:r>
              <w:rPr>
                <w:rFonts w:ascii="Calibri" w:hAnsi="Calibri" w:eastAsia="等线"/>
                <w:sz w:val="19"/>
              </w:rPr>
              <w:t>缺乏真实端侧设备</w:t>
            </w:r>
          </w:p>
        </w:tc>
        <w:tc>
          <w:tcPr>
            <w:tcW w:type="dxa" w:w="2900"/>
            <w:tcMar>
              <w:top w:w="80" w:type="dxa"/>
              <w:start w:w="120" w:type="dxa"/>
              <w:bottom w:w="80" w:type="dxa"/>
              <w:end w:w="120" w:type="dxa"/>
            </w:tcMar>
            <w:vAlign w:val="center"/>
          </w:tcPr>
          <w:p>
            <w:pPr>
              <w:spacing w:after="40" w:line="264" w:lineRule="auto"/>
            </w:pPr>
            <w:r>
              <w:rPr>
                <w:rFonts w:ascii="Calibri" w:hAnsi="Calibri" w:eastAsia="等线"/>
                <w:sz w:val="19"/>
              </w:rPr>
              <w:t>端边云证据不足</w:t>
            </w:r>
          </w:p>
        </w:tc>
        <w:tc>
          <w:tcPr>
            <w:tcW w:type="dxa" w:w="4360"/>
            <w:tcMar>
              <w:top w:w="80" w:type="dxa"/>
              <w:start w:w="120" w:type="dxa"/>
              <w:bottom w:w="80" w:type="dxa"/>
              <w:end w:w="120" w:type="dxa"/>
            </w:tcMar>
            <w:vAlign w:val="center"/>
          </w:tcPr>
          <w:p>
            <w:pPr>
              <w:spacing w:after="40" w:line="264" w:lineRule="auto"/>
            </w:pPr>
            <w:r>
              <w:rPr>
                <w:rFonts w:ascii="Calibri" w:hAnsi="Calibri" w:eastAsia="等线"/>
                <w:sz w:val="19"/>
              </w:rPr>
              <w:t>先完成三服务可复现实验，并尽早向比赛专班申请设备/技术支持</w:t>
            </w:r>
          </w:p>
        </w:tc>
      </w:tr>
    </w:tbl>
    <w:p>
      <w:pPr>
        <w:spacing w:after="0"/>
      </w:pPr>
    </w:p>
    <w:p>
      <w:pPr>
        <w:pStyle w:val="Heading1"/>
      </w:pPr>
      <w:r>
        <w:t>12. 近期 72 小时行动清单</w:t>
      </w:r>
    </w:p>
    <w:p>
      <w:pPr>
        <w:pStyle w:val="ListNumber"/>
      </w:pPr>
      <w:r>
        <w:t>将 autoresearch-master 放入当前工作区，保留上游地址、许可证和已有修改记录。</w:t>
      </w:r>
    </w:p>
    <w:p>
      <w:pPr>
        <w:pStyle w:val="ListNumber"/>
      </w:pPr>
      <w:r>
        <w:t>提供运行命令、模型/API 依赖、一次成功日志和一次失败日志，完成代码级差距审计。</w:t>
      </w:r>
    </w:p>
    <w:p>
      <w:pPr>
        <w:pStyle w:val="ListNumber"/>
      </w:pPr>
      <w:r>
        <w:t>冻结科研主 Demo 的具体题目和软件工程 Demo 的具体需求及验收条件。</w:t>
      </w:r>
    </w:p>
    <w:p>
      <w:pPr>
        <w:pStyle w:val="ListNumber"/>
      </w:pPr>
      <w:r>
        <w:t>跑通 baseline，保存 Token、耗时、调用链、人工干预次数和最终产物。</w:t>
      </w:r>
    </w:p>
    <w:p>
      <w:pPr>
        <w:pStyle w:val="ListNumber"/>
      </w:pPr>
      <w:r>
        <w:t>确定端、边、云三类模拟节点的模型/工具组合与可用硬件，建立 placement 元数据。</w:t>
      </w:r>
    </w:p>
    <w:p>
      <w:pPr>
        <w:pStyle w:val="ListNumber"/>
      </w:pPr>
      <w:r>
        <w:t>确认报名状态；同步向比赛专班申请端侧设备、模型适配或接口支持。</w:t>
      </w:r>
    </w:p>
    <w:p>
      <w:pPr>
        <w:pStyle w:val="Heading1"/>
      </w:pPr>
      <w:r>
        <w:t>13. 9 月 1 日交付清单</w:t>
      </w:r>
    </w:p>
    <w:p>
      <w:pPr>
        <w:pStyle w:val="ListBullet"/>
      </w:pPr>
      <w:r>
        <w:t>可部署源码、锁定依赖、配置样例、许可证与第三方清单。</w:t>
      </w:r>
    </w:p>
    <w:p>
      <w:pPr>
        <w:pStyle w:val="ListBullet"/>
      </w:pPr>
      <w:r>
        <w:t>两个跨领域任务的运行脚本、输入、产物、trace 和回放文件。</w:t>
      </w:r>
    </w:p>
    <w:p>
      <w:pPr>
        <w:pStyle w:val="ListBullet"/>
      </w:pPr>
      <w:r>
        <w:t>动态异常、需求变更、节点失效和端边云迁移的注入脚本与结果。</w:t>
      </w:r>
    </w:p>
    <w:p>
      <w:pPr>
        <w:pStyle w:val="ListBullet"/>
      </w:pPr>
      <w:r>
        <w:t>Web 演示界面：DAG、动态拓扑、记忆、placement、迁移、成本和恢复轨迹。</w:t>
      </w:r>
    </w:p>
    <w:p>
      <w:pPr>
        <w:pStyle w:val="ListBullet"/>
      </w:pPr>
      <w:r>
        <w:t>技术文档：架构、路由、记忆、端边云调度、伪代码和复杂度分析。</w:t>
      </w:r>
    </w:p>
    <w:p>
      <w:pPr>
        <w:pStyle w:val="ListBullet"/>
      </w:pPr>
      <w:r>
        <w:t>评测报告：基线、消融、鲁棒性、Token/时间、跨域任务与失败案例。</w:t>
      </w:r>
    </w:p>
    <w:p>
      <w:pPr>
        <w:pStyle w:val="ListBullet"/>
      </w:pPr>
      <w:r>
        <w:t>演示视频、答辩 PPT 初稿、FAQ、申报材料清单和交付包自检脚本。</w:t>
      </w:r>
    </w:p>
    <w:p>
      <w:pPr>
        <w:spacing w:before="80" w:after="160"/>
        <w:ind w:left="115" w:right="115"/>
        <w:shd w:fill="EAF2F8"/>
        <w:pBdr>
          <w:left w:val="single" w:sz="18" w:space="8" w:color="2E74B5"/>
        </w:pBdr>
      </w:pPr>
      <w:r>
        <w:rPr>
          <w:b/>
          <w:color w:val="1F4D78"/>
        </w:rPr>
        <w:t>导师结论：</w:t>
      </w:r>
      <w:r>
        <w:t>端边云协同应作为作品的五条主技术线之一，并且要在 UI、故障注入和实验表中持续出现。最稳妥的路线是先完成请求级动态调度和三服务模拟，再把真实终端部署/模型层级切分作为加分项。</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ResearchSwarm  |  荣耀 XH-202631 比赛项目实施计划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eastAsia="等线"/>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等线"/>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等线"/>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荣耀 XH-202631 比赛项目实施计划</dc:title>
  <dc:subject>ResearchSwarm 动态异构群体智能与端边云协同</dc:subject>
  <dc:creator>参赛团队</dc:creator>
  <cp:keywords>群体智能, 多智能体, 长程任务, 端边云协同, autoresearch</cp:keywords>
  <dc:description>generated by python-docx</dc:description>
  <cp:lastModifiedBy/>
  <cp:revision>1</cp:revision>
  <dcterms:created xsi:type="dcterms:W3CDTF">2013-12-23T23:15:00Z</dcterms:created>
  <dcterms:modified xsi:type="dcterms:W3CDTF">2013-12-23T23:15:00Z</dcterms:modified>
  <cp:category/>
</cp:coreProperties>
</file>