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9D" w:rsidRPr="000A7B01" w:rsidRDefault="000A7B01" w:rsidP="000A7B01">
      <w:pPr>
        <w:pStyle w:val="Title"/>
        <w:spacing w:after="240"/>
      </w:pPr>
      <w:r>
        <w:t>CSC4009: FIP-ML – Assignment 1</w:t>
      </w:r>
    </w:p>
    <w:p w:rsidR="000A7B01" w:rsidRDefault="000A7B01" w:rsidP="000A7B01">
      <w:pPr>
        <w:spacing w:after="0" w:line="240" w:lineRule="auto"/>
        <w:jc w:val="center"/>
      </w:pPr>
      <w:r w:rsidRPr="000A7B01">
        <w:rPr>
          <w:b/>
        </w:rPr>
        <w:t>Name</w:t>
      </w:r>
      <w:r>
        <w:t>: Jamie McKeown</w:t>
      </w:r>
    </w:p>
    <w:p w:rsidR="000A7B01" w:rsidRDefault="000A7B01" w:rsidP="000A7B01">
      <w:pPr>
        <w:spacing w:after="0" w:line="240" w:lineRule="auto"/>
        <w:jc w:val="center"/>
      </w:pPr>
      <w:r w:rsidRPr="000A7B01">
        <w:rPr>
          <w:b/>
        </w:rPr>
        <w:t>Student</w:t>
      </w:r>
      <w:r>
        <w:t xml:space="preserve"> </w:t>
      </w:r>
      <w:r w:rsidRPr="000A7B01">
        <w:rPr>
          <w:b/>
        </w:rPr>
        <w:t>Number</w:t>
      </w:r>
      <w:r>
        <w:t>: 40177467</w:t>
      </w:r>
    </w:p>
    <w:p w:rsidR="000A7B01" w:rsidRDefault="000A7B01" w:rsidP="000A7B01">
      <w:pPr>
        <w:spacing w:after="0" w:line="240" w:lineRule="auto"/>
        <w:jc w:val="center"/>
      </w:pPr>
      <w:r w:rsidRPr="000A7B01">
        <w:rPr>
          <w:b/>
        </w:rPr>
        <w:t>Email</w:t>
      </w:r>
      <w:r>
        <w:t>: jmckeown35@qub.ac.uk</w:t>
      </w:r>
    </w:p>
    <w:p w:rsidR="000A7B01" w:rsidRDefault="000A7B01" w:rsidP="000A7B01">
      <w:pPr>
        <w:spacing w:after="0" w:line="240" w:lineRule="auto"/>
      </w:pPr>
    </w:p>
    <w:p w:rsidR="005611B7" w:rsidRDefault="000A7B01" w:rsidP="009A520A">
      <w:pPr>
        <w:spacing w:line="240" w:lineRule="auto"/>
      </w:pPr>
      <w:r>
        <w:t>I have chosen to analyse bias</w:t>
      </w:r>
      <w:r w:rsidR="009272FF">
        <w:t xml:space="preserve"> </w:t>
      </w:r>
      <w:r w:rsidR="00BD177C">
        <w:t>with</w:t>
      </w:r>
      <w:r w:rsidR="009272FF">
        <w:t>in a</w:t>
      </w:r>
      <w:r>
        <w:t xml:space="preserve"> </w:t>
      </w:r>
      <w:r w:rsidRPr="009A520A">
        <w:rPr>
          <w:i/>
        </w:rPr>
        <w:t>Classification</w:t>
      </w:r>
      <w:r>
        <w:t xml:space="preserve"> task using a </w:t>
      </w:r>
      <w:r w:rsidR="009272FF" w:rsidRPr="009A520A">
        <w:rPr>
          <w:i/>
        </w:rPr>
        <w:t>Gradient Boosting Machine</w:t>
      </w:r>
      <w:r w:rsidR="00C6341C">
        <w:rPr>
          <w:i/>
        </w:rPr>
        <w:t xml:space="preserve"> </w:t>
      </w:r>
      <w:r w:rsidR="00C6341C">
        <w:t>(GBM)</w:t>
      </w:r>
      <w:r w:rsidR="009272FF">
        <w:t xml:space="preserve"> model. </w:t>
      </w:r>
      <w:r w:rsidR="009A520A">
        <w:t xml:space="preserve">Before training the model I inspected the </w:t>
      </w:r>
      <w:r w:rsidR="00944376">
        <w:t>full</w:t>
      </w:r>
      <w:r w:rsidR="00DB3988">
        <w:t xml:space="preserve"> dataset.</w:t>
      </w:r>
      <w:r w:rsidR="009A520A">
        <w:t xml:space="preserve"> </w:t>
      </w:r>
      <w:r w:rsidR="003D3784">
        <w:t xml:space="preserve">76.07% of the participants made under 50K and 23.93% made over 50K. </w:t>
      </w:r>
      <w:r w:rsidR="009272FF">
        <w:t>3620</w:t>
      </w:r>
      <w:r w:rsidR="00944376">
        <w:t xml:space="preserve"> out of 48842 rows</w:t>
      </w:r>
      <w:r w:rsidR="009272FF">
        <w:t xml:space="preserve"> </w:t>
      </w:r>
      <w:r w:rsidR="00DB3988">
        <w:t>(</w:t>
      </w:r>
      <w:r w:rsidR="008A5FD9">
        <w:t>7.41%</w:t>
      </w:r>
      <w:r w:rsidR="00DB3988">
        <w:t>)</w:t>
      </w:r>
      <w:r w:rsidR="00944376">
        <w:t xml:space="preserve"> contained missing data</w:t>
      </w:r>
      <w:r w:rsidR="009272FF">
        <w:t>.</w:t>
      </w:r>
      <w:r w:rsidR="009A520A">
        <w:t xml:space="preserve"> </w:t>
      </w:r>
      <w:r w:rsidR="00DB3988">
        <w:t>To</w:t>
      </w:r>
      <w:r w:rsidR="009A520A">
        <w:t xml:space="preserve"> handle th</w:t>
      </w:r>
      <w:r w:rsidR="00944376">
        <w:t>e</w:t>
      </w:r>
      <w:r w:rsidR="009A520A">
        <w:t xml:space="preserve"> missing data </w:t>
      </w:r>
      <w:r w:rsidR="00DB3988">
        <w:t>I utilised a framework created</w:t>
      </w:r>
      <w:r w:rsidR="009A520A">
        <w:t xml:space="preserve"> by </w:t>
      </w:r>
      <w:proofErr w:type="spellStart"/>
      <w:r w:rsidR="009A520A">
        <w:t>Jakobsen</w:t>
      </w:r>
      <w:proofErr w:type="spellEnd"/>
      <w:r w:rsidR="009A520A">
        <w:t xml:space="preserve"> et al [1]</w:t>
      </w:r>
      <w:r w:rsidR="00DB3988">
        <w:t>, specifically when to use data imputation</w:t>
      </w:r>
      <w:r w:rsidR="009A520A">
        <w:t xml:space="preserve">. </w:t>
      </w:r>
      <w:r w:rsidR="00CB58D4">
        <w:t>Complete case analysis</w:t>
      </w:r>
      <w:r w:rsidR="009A520A">
        <w:t xml:space="preserve"> (removing rows with missing data)</w:t>
      </w:r>
      <w:r w:rsidR="00CB58D4">
        <w:t xml:space="preserve"> is useful in settings </w:t>
      </w:r>
      <w:r w:rsidR="00944376">
        <w:t xml:space="preserve">with </w:t>
      </w:r>
      <w:r w:rsidR="009272FF">
        <w:t xml:space="preserve">relatively </w:t>
      </w:r>
      <w:r w:rsidR="00CB58D4">
        <w:t xml:space="preserve">insignificant amounts </w:t>
      </w:r>
      <w:r w:rsidR="00944376">
        <w:t xml:space="preserve">of missing </w:t>
      </w:r>
      <w:r w:rsidR="00CB58D4">
        <w:t>dat</w:t>
      </w:r>
      <w:r w:rsidR="006D4D1E">
        <w:t>a</w:t>
      </w:r>
      <w:r w:rsidR="00944376">
        <w:t>,</w:t>
      </w:r>
      <w:r w:rsidR="00642808">
        <w:t xml:space="preserve"> </w:t>
      </w:r>
      <w:r w:rsidR="006D4D1E">
        <w:t>however</w:t>
      </w:r>
      <w:r w:rsidR="009A520A">
        <w:t>,</w:t>
      </w:r>
      <w:r w:rsidR="006D4D1E">
        <w:t xml:space="preserve"> </w:t>
      </w:r>
      <w:r w:rsidR="00944376">
        <w:t>in this case it</w:t>
      </w:r>
      <w:r w:rsidR="006D4D1E">
        <w:t xml:space="preserve"> is above</w:t>
      </w:r>
      <w:r w:rsidR="00642808">
        <w:t xml:space="preserve"> the</w:t>
      </w:r>
      <w:r w:rsidR="00944376">
        <w:t xml:space="preserve"> recommended</w:t>
      </w:r>
      <w:r w:rsidR="006D4D1E">
        <w:t xml:space="preserve"> 5%</w:t>
      </w:r>
      <w:r w:rsidR="00306B4E">
        <w:t xml:space="preserve"> threshold</w:t>
      </w:r>
      <w:r w:rsidR="006D4D1E">
        <w:t xml:space="preserve">. </w:t>
      </w:r>
      <w:r w:rsidR="00DB3988">
        <w:t xml:space="preserve">As </w:t>
      </w:r>
      <w:r w:rsidR="00944376">
        <w:t xml:space="preserve">I was unable </w:t>
      </w:r>
      <w:r w:rsidR="00DB3988">
        <w:t xml:space="preserve">to access the missing data, </w:t>
      </w:r>
      <w:r w:rsidR="00944376">
        <w:t xml:space="preserve">it was impossible to verify </w:t>
      </w:r>
      <w:r w:rsidR="00DB3988">
        <w:t xml:space="preserve">that </w:t>
      </w:r>
      <w:r w:rsidR="00944376">
        <w:t xml:space="preserve">there </w:t>
      </w:r>
      <w:r w:rsidR="00DB3988">
        <w:t>was</w:t>
      </w:r>
      <w:r w:rsidR="00F13DA4">
        <w:t xml:space="preserve"> no relationship between the </w:t>
      </w:r>
      <w:r w:rsidR="00944376">
        <w:t>‘</w:t>
      </w:r>
      <w:proofErr w:type="spellStart"/>
      <w:r w:rsidR="00F13DA4">
        <w:t>missingness</w:t>
      </w:r>
      <w:proofErr w:type="spellEnd"/>
      <w:r w:rsidR="00944376">
        <w:t>’</w:t>
      </w:r>
      <w:r w:rsidR="00F13DA4">
        <w:t xml:space="preserve"> of the data and any values </w:t>
      </w:r>
      <w:r w:rsidR="00DB3988">
        <w:t>(</w:t>
      </w:r>
      <w:r w:rsidR="00F13DA4">
        <w:t>observed or missing</w:t>
      </w:r>
      <w:r w:rsidR="00DB3988">
        <w:t>)</w:t>
      </w:r>
      <w:r w:rsidR="00F13DA4">
        <w:t xml:space="preserve"> [2]</w:t>
      </w:r>
      <w:r w:rsidR="00CB4CCC">
        <w:t xml:space="preserve">. Consequently, the missing data could not be classified as </w:t>
      </w:r>
      <w:r w:rsidR="00944376">
        <w:t>MCAR (Missing Completely at Random). Therefore</w:t>
      </w:r>
      <w:r w:rsidR="00F13DA4">
        <w:t xml:space="preserve"> </w:t>
      </w:r>
      <w:r w:rsidR="005611B7">
        <w:t>using complete case analysis in this situation would</w:t>
      </w:r>
      <w:r w:rsidR="00F13DA4">
        <w:t xml:space="preserve"> risk </w:t>
      </w:r>
      <w:r w:rsidR="005611B7">
        <w:t xml:space="preserve">introducing </w:t>
      </w:r>
      <w:r w:rsidR="00F13DA4">
        <w:t xml:space="preserve">bias results based </w:t>
      </w:r>
      <w:r w:rsidR="00001E9A">
        <w:t>on</w:t>
      </w:r>
      <w:r w:rsidR="00F13DA4">
        <w:t xml:space="preserve"> incomplete data. </w:t>
      </w:r>
    </w:p>
    <w:p w:rsidR="0031313C" w:rsidRDefault="00CB4CCC" w:rsidP="005611B7">
      <w:pPr>
        <w:spacing w:line="240" w:lineRule="auto"/>
      </w:pPr>
      <w:r>
        <w:t>The columns with missing values were occupation, working class and native country. When classifying the missing data as</w:t>
      </w:r>
      <w:r w:rsidR="00001E9A">
        <w:t xml:space="preserve"> MAR</w:t>
      </w:r>
      <w:r w:rsidR="00C6341C">
        <w:t xml:space="preserve"> (Missing at R</w:t>
      </w:r>
      <w:r w:rsidR="00001E9A">
        <w:t xml:space="preserve">andom) </w:t>
      </w:r>
      <w:r>
        <w:t>or</w:t>
      </w:r>
      <w:r w:rsidR="00001E9A">
        <w:t xml:space="preserve"> MCAR, </w:t>
      </w:r>
      <w:r>
        <w:t>I assumed</w:t>
      </w:r>
      <w:r w:rsidR="00001E9A">
        <w:t xml:space="preserve"> data was likely to have a systemic relationship to the observed data</w:t>
      </w:r>
      <w:r>
        <w:t xml:space="preserve"> because</w:t>
      </w:r>
      <w:r w:rsidR="00001E9A">
        <w:t xml:space="preserve"> the most common missing </w:t>
      </w:r>
      <w:r w:rsidR="00EF06E2">
        <w:t xml:space="preserve">fields </w:t>
      </w:r>
      <w:r w:rsidR="00001E9A">
        <w:t>were work</w:t>
      </w:r>
      <w:r w:rsidR="00690541">
        <w:t xml:space="preserve">ing </w:t>
      </w:r>
      <w:r w:rsidR="00001E9A">
        <w:t>class &amp; occupation</w:t>
      </w:r>
      <w:r>
        <w:t xml:space="preserve"> [2]. These fields</w:t>
      </w:r>
      <w:r w:rsidR="00001E9A">
        <w:t xml:space="preserve"> directly relate to the measured attribute</w:t>
      </w:r>
      <w:r>
        <w:t xml:space="preserve">, </w:t>
      </w:r>
      <w:r w:rsidR="00001E9A">
        <w:t xml:space="preserve">whether a person makes above 50k. </w:t>
      </w:r>
      <w:r w:rsidR="0031313C">
        <w:t>Unfortunately</w:t>
      </w:r>
      <w:r w:rsidR="005611B7">
        <w:t>,</w:t>
      </w:r>
      <w:r w:rsidR="0031313C">
        <w:t xml:space="preserve"> </w:t>
      </w:r>
      <w:r w:rsidR="00EF6634">
        <w:t>in this scenario</w:t>
      </w:r>
      <w:r w:rsidR="00EF6634">
        <w:t>,</w:t>
      </w:r>
      <w:r w:rsidR="00EF6634">
        <w:t xml:space="preserve"> </w:t>
      </w:r>
      <w:r w:rsidR="00EF6634">
        <w:t>it is not possible</w:t>
      </w:r>
      <w:r w:rsidR="005611B7">
        <w:t xml:space="preserve"> </w:t>
      </w:r>
      <w:r w:rsidR="0031313C">
        <w:t xml:space="preserve">to </w:t>
      </w:r>
      <w:r w:rsidR="005611B7">
        <w:t>prove</w:t>
      </w:r>
      <w:r w:rsidR="0031313C">
        <w:t xml:space="preserve"> whether or not the values are MNAR (Missing Not at Random) as we cannot determine the propensity of a value to </w:t>
      </w:r>
      <w:r w:rsidR="00EF6634">
        <w:t xml:space="preserve">be </w:t>
      </w:r>
      <w:r w:rsidR="0031313C">
        <w:t>m</w:t>
      </w:r>
      <w:r>
        <w:t>issing based of</w:t>
      </w:r>
      <w:r w:rsidR="00EF6634">
        <w:t>f its value [2]. F</w:t>
      </w:r>
      <w:r>
        <w:t>or example, the relationship between the working class of a person and the likelihood of them omitting it in the census</w:t>
      </w:r>
      <w:r w:rsidR="0031313C">
        <w:t>. Thus I have made the assumption that the values missing are MAR, this will be considered when evaluating the model.</w:t>
      </w:r>
    </w:p>
    <w:p w:rsidR="00C6341C" w:rsidRPr="00944376" w:rsidRDefault="0031313C" w:rsidP="000A7B01">
      <w:pPr>
        <w:spacing w:after="0" w:line="240" w:lineRule="auto"/>
      </w:pPr>
      <w:r>
        <w:t>I use</w:t>
      </w:r>
      <w:r w:rsidR="005611B7">
        <w:t>d</w:t>
      </w:r>
      <w:r>
        <w:t xml:space="preserve"> </w:t>
      </w:r>
      <w:r w:rsidR="00CB4CCC">
        <w:t xml:space="preserve">mode imputation </w:t>
      </w:r>
      <w:r w:rsidR="005611B7">
        <w:t xml:space="preserve">for </w:t>
      </w:r>
      <w:r w:rsidR="00CB4CCC">
        <w:t xml:space="preserve">the </w:t>
      </w:r>
      <w:r w:rsidR="005611B7">
        <w:t>missing values. W</w:t>
      </w:r>
      <w:r w:rsidR="002961D1">
        <w:t xml:space="preserve">hile there is a </w:t>
      </w:r>
      <w:r w:rsidR="005611B7">
        <w:t xml:space="preserve">greater </w:t>
      </w:r>
      <w:r w:rsidR="002961D1">
        <w:t xml:space="preserve">risk of introducing bias, it is </w:t>
      </w:r>
      <w:r w:rsidR="00EF06E2">
        <w:t xml:space="preserve">much </w:t>
      </w:r>
      <w:r w:rsidR="002961D1">
        <w:t xml:space="preserve">less </w:t>
      </w:r>
      <w:r w:rsidR="005611B7">
        <w:t>computationally</w:t>
      </w:r>
      <w:r w:rsidR="00CB4CCC">
        <w:t xml:space="preserve"> expensive</w:t>
      </w:r>
      <w:r w:rsidR="005611B7">
        <w:t xml:space="preserve"> </w:t>
      </w:r>
      <w:r w:rsidR="00CB4CCC">
        <w:t>than imputation</w:t>
      </w:r>
      <w:r w:rsidR="00C6341C">
        <w:t xml:space="preserve"> methods </w:t>
      </w:r>
      <w:r w:rsidR="002961D1">
        <w:t>using KNN, MICE or Deep Learning [3]</w:t>
      </w:r>
      <w:r w:rsidR="005611B7">
        <w:t>.</w:t>
      </w:r>
      <w:r w:rsidR="00E5602D">
        <w:t xml:space="preserve"> To enc</w:t>
      </w:r>
      <w:r w:rsidR="00596502">
        <w:t xml:space="preserve">ode the </w:t>
      </w:r>
      <w:r w:rsidR="001D1050">
        <w:t>categorical attribute,</w:t>
      </w:r>
      <w:r w:rsidR="00596502" w:rsidRPr="00944376">
        <w:t xml:space="preserve"> I performed </w:t>
      </w:r>
      <w:r w:rsidR="005E5CFC" w:rsidRPr="00944376">
        <w:t xml:space="preserve">label </w:t>
      </w:r>
      <w:r w:rsidR="001D1050">
        <w:t>encoding for the measured attribute</w:t>
      </w:r>
      <w:r w:rsidR="005E5CFC" w:rsidRPr="00944376">
        <w:t xml:space="preserve"> and one-hot encoding</w:t>
      </w:r>
      <w:r w:rsidR="00C6341C" w:rsidRPr="00944376">
        <w:t xml:space="preserve"> on the </w:t>
      </w:r>
      <w:r w:rsidR="001D1050">
        <w:t xml:space="preserve">remaining categorical </w:t>
      </w:r>
      <w:r w:rsidR="00EF6634">
        <w:t xml:space="preserve">attributes to avoid </w:t>
      </w:r>
      <w:r w:rsidR="001D1050">
        <w:t>bias being introduced in categories where there is no ordinal order. One exception to this was education, where I implemented ordinal encoding based off the level of education</w:t>
      </w:r>
      <w:r w:rsidR="00EF6634">
        <w:t>. For the remaining continuous attributes, I applied min max scaling</w:t>
      </w:r>
      <w:r w:rsidR="00C6341C" w:rsidRPr="00944376">
        <w:t xml:space="preserve">. </w:t>
      </w:r>
      <w:r w:rsidR="002F3E70" w:rsidRPr="00944376">
        <w:t xml:space="preserve">As the dataset is not large, I </w:t>
      </w:r>
      <w:r w:rsidR="001D1050">
        <w:t>used</w:t>
      </w:r>
      <w:r w:rsidR="002F3E70" w:rsidRPr="00944376">
        <w:t xml:space="preserve"> original train/test split</w:t>
      </w:r>
      <w:r w:rsidR="001D1050">
        <w:t xml:space="preserve"> which </w:t>
      </w:r>
      <w:r w:rsidR="00EF6634">
        <w:t>had a</w:t>
      </w:r>
      <w:r w:rsidR="001D1050">
        <w:t xml:space="preserve"> </w:t>
      </w:r>
      <w:r w:rsidR="00EF6634">
        <w:t>2:1 ratio</w:t>
      </w:r>
      <w:r w:rsidR="002F3E70" w:rsidRPr="00944376">
        <w:t>.</w:t>
      </w:r>
    </w:p>
    <w:p w:rsidR="00C6341C" w:rsidRPr="00944376" w:rsidRDefault="00C6341C" w:rsidP="000A7B01">
      <w:pPr>
        <w:spacing w:after="0" w:line="240" w:lineRule="auto"/>
      </w:pPr>
    </w:p>
    <w:p w:rsidR="002F3E70" w:rsidRDefault="00C6341C" w:rsidP="000A7B01">
      <w:pPr>
        <w:spacing w:after="0" w:line="240" w:lineRule="auto"/>
      </w:pPr>
      <w:r>
        <w:t xml:space="preserve">My chosen protected attributes are </w:t>
      </w:r>
      <w:r w:rsidRPr="00C6341C">
        <w:rPr>
          <w:i/>
        </w:rPr>
        <w:t>Sex</w:t>
      </w:r>
      <w:r>
        <w:t xml:space="preserve"> and </w:t>
      </w:r>
      <w:r w:rsidRPr="00C6341C">
        <w:rPr>
          <w:i/>
        </w:rPr>
        <w:t>Race</w:t>
      </w:r>
      <w:r>
        <w:t xml:space="preserve">. </w:t>
      </w:r>
      <w:r w:rsidR="00642808">
        <w:t xml:space="preserve">I decided to remove all the </w:t>
      </w:r>
      <w:r>
        <w:t>sensitive</w:t>
      </w:r>
      <w:r w:rsidR="00642808">
        <w:t xml:space="preserve"> </w:t>
      </w:r>
      <w:r>
        <w:t>attributes</w:t>
      </w:r>
      <w:r w:rsidR="00642808">
        <w:t xml:space="preserve"> during training, this aides with </w:t>
      </w:r>
      <w:r w:rsidR="001D1050">
        <w:t>fairness through</w:t>
      </w:r>
      <w:r w:rsidR="001A42B1">
        <w:t xml:space="preserve"> the concept of</w:t>
      </w:r>
      <w:r w:rsidR="001D1050">
        <w:t xml:space="preserve"> </w:t>
      </w:r>
      <w:r w:rsidR="00642808">
        <w:t>unawareness</w:t>
      </w:r>
      <w:r w:rsidR="001D1050">
        <w:t xml:space="preserve"> [5]</w:t>
      </w:r>
      <w:r w:rsidR="00642808">
        <w:t xml:space="preserve"> </w:t>
      </w:r>
      <w:r w:rsidR="001D1050">
        <w:t>and reduces the risk of</w:t>
      </w:r>
      <w:r>
        <w:t xml:space="preserve"> proxy feature</w:t>
      </w:r>
      <w:r w:rsidR="001D1050">
        <w:t>s as</w:t>
      </w:r>
      <w:r>
        <w:t xml:space="preserve"> I theorise that there is a correlation between native-country and race as well as working class and occupation. </w:t>
      </w:r>
    </w:p>
    <w:p w:rsidR="00C6341C" w:rsidRDefault="00C6341C" w:rsidP="000A7B01">
      <w:pPr>
        <w:spacing w:after="0" w:line="240" w:lineRule="auto"/>
      </w:pPr>
    </w:p>
    <w:p w:rsidR="00314301" w:rsidRDefault="00C20166" w:rsidP="000A7B01">
      <w:pPr>
        <w:spacing w:after="0" w:line="240" w:lineRule="auto"/>
      </w:pPr>
      <w:r>
        <w:t xml:space="preserve">I used python based </w:t>
      </w:r>
      <w:r w:rsidR="001D1050">
        <w:t xml:space="preserve">toolkits including </w:t>
      </w:r>
      <w:proofErr w:type="spellStart"/>
      <w:r w:rsidR="001D1050">
        <w:t>NumPy</w:t>
      </w:r>
      <w:proofErr w:type="spellEnd"/>
      <w:r w:rsidR="001D1050">
        <w:t xml:space="preserve">, Pandas and </w:t>
      </w:r>
      <w:proofErr w:type="spellStart"/>
      <w:r w:rsidR="001D1050">
        <w:t>S</w:t>
      </w:r>
      <w:r>
        <w:t>cikit</w:t>
      </w:r>
      <w:proofErr w:type="spellEnd"/>
      <w:r>
        <w:t xml:space="preserve">-learn for handling the data as well as developing and testing the GBM model. </w:t>
      </w:r>
      <w:r w:rsidR="001A42B1">
        <w:t>I opted to use</w:t>
      </w:r>
      <w:r w:rsidR="00C6341C">
        <w:t xml:space="preserve"> grid search to find the</w:t>
      </w:r>
      <w:r w:rsidR="00EF06E2">
        <w:t xml:space="preserve"> initial</w:t>
      </w:r>
      <w:r w:rsidR="00C6341C">
        <w:t xml:space="preserve"> </w:t>
      </w:r>
      <w:r w:rsidR="001A42B1">
        <w:t xml:space="preserve">optimal </w:t>
      </w:r>
      <w:r w:rsidR="00C6341C">
        <w:t>hyperparameters that produced a GBM with the highest accuracy. This search produced a GBM with an accuracy of 82.5% using the following hyperparameters:</w:t>
      </w:r>
    </w:p>
    <w:p w:rsidR="00C6341C" w:rsidRDefault="00C6341C" w:rsidP="00C6341C">
      <w:pPr>
        <w:pStyle w:val="ListParagraph"/>
        <w:numPr>
          <w:ilvl w:val="0"/>
          <w:numId w:val="2"/>
        </w:numPr>
        <w:spacing w:after="0" w:line="240" w:lineRule="auto"/>
      </w:pPr>
      <w:proofErr w:type="spellStart"/>
      <w:r>
        <w:t>learning_rate</w:t>
      </w:r>
      <w:proofErr w:type="spellEnd"/>
      <w:r>
        <w:t xml:space="preserve">: 0.01 </w:t>
      </w:r>
    </w:p>
    <w:p w:rsidR="00C6341C" w:rsidRDefault="00C6341C" w:rsidP="00C6341C">
      <w:pPr>
        <w:pStyle w:val="ListParagraph"/>
        <w:numPr>
          <w:ilvl w:val="0"/>
          <w:numId w:val="2"/>
        </w:numPr>
        <w:spacing w:after="0" w:line="240" w:lineRule="auto"/>
      </w:pPr>
      <w:proofErr w:type="spellStart"/>
      <w:r>
        <w:t>max_depth</w:t>
      </w:r>
      <w:proofErr w:type="spellEnd"/>
      <w:r w:rsidRPr="00C6341C">
        <w:t>: 7</w:t>
      </w:r>
    </w:p>
    <w:p w:rsidR="00C6341C" w:rsidRDefault="00C6341C" w:rsidP="00C6341C">
      <w:pPr>
        <w:pStyle w:val="ListParagraph"/>
        <w:numPr>
          <w:ilvl w:val="0"/>
          <w:numId w:val="2"/>
        </w:numPr>
        <w:spacing w:after="0" w:line="240" w:lineRule="auto"/>
      </w:pPr>
      <w:proofErr w:type="spellStart"/>
      <w:r>
        <w:t>n_estimators</w:t>
      </w:r>
      <w:proofErr w:type="spellEnd"/>
      <w:r>
        <w:t>: 500</w:t>
      </w:r>
    </w:p>
    <w:p w:rsidR="00013558" w:rsidRDefault="00C6341C" w:rsidP="00C6341C">
      <w:pPr>
        <w:pStyle w:val="ListParagraph"/>
        <w:numPr>
          <w:ilvl w:val="0"/>
          <w:numId w:val="2"/>
        </w:numPr>
        <w:spacing w:after="0" w:line="240" w:lineRule="auto"/>
      </w:pPr>
      <w:r w:rsidRPr="00C6341C">
        <w:t>subsample: 0.7</w:t>
      </w:r>
    </w:p>
    <w:p w:rsidR="001D1050" w:rsidRDefault="00EF06E2" w:rsidP="00EF06E2">
      <w:pPr>
        <w:spacing w:after="0" w:line="240" w:lineRule="auto"/>
      </w:pPr>
      <w:r>
        <w:t xml:space="preserve">When analysing the cause of unfairness, I used the </w:t>
      </w:r>
      <w:proofErr w:type="spellStart"/>
      <w:r>
        <w:t>Optuna</w:t>
      </w:r>
      <w:proofErr w:type="spellEnd"/>
      <w:r>
        <w:t xml:space="preserve"> library to aide analysis of the effects of </w:t>
      </w:r>
      <w:proofErr w:type="spellStart"/>
      <w:r>
        <w:t>hyperparameter</w:t>
      </w:r>
      <w:proofErr w:type="spellEnd"/>
      <w:r>
        <w:t xml:space="preserve"> </w:t>
      </w:r>
      <w:r>
        <w:t>settings</w:t>
      </w:r>
      <w:r>
        <w:t xml:space="preserve"> on fairness. Particularly its ability to optimise hyperparameters based on an objective function, in which I used a TRE sampler to select </w:t>
      </w:r>
      <w:proofErr w:type="spellStart"/>
      <w:r>
        <w:t>hyperparameter</w:t>
      </w:r>
      <w:proofErr w:type="spellEnd"/>
      <w:r>
        <w:t xml:space="preserve"> values between an upper and lower bound.</w:t>
      </w:r>
      <w:r>
        <w:t xml:space="preserve"> The library allowed me to plot parallel co-ordinate plots in which many (50 in this case) </w:t>
      </w:r>
      <w:proofErr w:type="spellStart"/>
      <w:r>
        <w:t>hyperparameter</w:t>
      </w:r>
      <w:proofErr w:type="spellEnd"/>
      <w:r>
        <w:t xml:space="preserve"> settings could be concurrently shown against the objective function.</w:t>
      </w:r>
      <w:r w:rsidR="001D1050">
        <w:br w:type="page"/>
      </w:r>
    </w:p>
    <w:p w:rsidR="007769DF" w:rsidRDefault="004E6B73" w:rsidP="000A7B01">
      <w:pPr>
        <w:spacing w:after="0" w:line="240" w:lineRule="auto"/>
        <w:rPr>
          <w:b/>
          <w:sz w:val="28"/>
        </w:rPr>
      </w:pPr>
      <w:r>
        <w:rPr>
          <w:b/>
          <w:sz w:val="28"/>
        </w:rPr>
        <w:lastRenderedPageBreak/>
        <w:t>1</w:t>
      </w:r>
      <w:r w:rsidR="007769DF" w:rsidRPr="00FD314A">
        <w:rPr>
          <w:b/>
          <w:sz w:val="28"/>
        </w:rPr>
        <w:t xml:space="preserve">. </w:t>
      </w:r>
      <w:r w:rsidR="00FD314A" w:rsidRPr="00FD314A">
        <w:rPr>
          <w:b/>
          <w:sz w:val="28"/>
        </w:rPr>
        <w:t xml:space="preserve">Evaluation of </w:t>
      </w:r>
      <w:r w:rsidR="007769DF" w:rsidRPr="00FD314A">
        <w:rPr>
          <w:b/>
          <w:sz w:val="28"/>
        </w:rPr>
        <w:t xml:space="preserve">Group Fairness </w:t>
      </w:r>
    </w:p>
    <w:p w:rsidR="003B3548" w:rsidRDefault="00FC0B78" w:rsidP="00FC0B78">
      <w:pPr>
        <w:spacing w:after="0" w:line="240" w:lineRule="auto"/>
      </w:pPr>
      <w:r>
        <w:t xml:space="preserve">Group fairness within classification can be evaluated </w:t>
      </w:r>
      <w:r w:rsidR="00EF06E2">
        <w:t>through</w:t>
      </w:r>
      <w:r>
        <w:t xml:space="preserve"> </w:t>
      </w:r>
      <w:r w:rsidR="00EF06E2">
        <w:t xml:space="preserve">model </w:t>
      </w:r>
      <w:r>
        <w:t>performance, demographic parity and equality of opportunity. To quantify performance,</w:t>
      </w:r>
      <w:r w:rsidR="003F7FF0">
        <w:t xml:space="preserve"> </w:t>
      </w:r>
      <w:r w:rsidR="009C36E1">
        <w:t>accuracy and a</w:t>
      </w:r>
      <w:r>
        <w:t xml:space="preserve"> confusion matrices</w:t>
      </w:r>
      <w:r w:rsidR="007769DF">
        <w:t xml:space="preserve"> w</w:t>
      </w:r>
      <w:r w:rsidR="003F7FF0">
        <w:t>ere</w:t>
      </w:r>
      <w:r w:rsidR="007769DF">
        <w:t xml:space="preserve"> derived for each group. </w:t>
      </w:r>
      <w:r w:rsidR="009C36E1">
        <w:t>Demographic p</w:t>
      </w:r>
      <w:r w:rsidR="007769DF">
        <w:t xml:space="preserve">arity states each group within the protected </w:t>
      </w:r>
      <w:r>
        <w:t>attribute</w:t>
      </w:r>
      <w:r w:rsidR="007769DF">
        <w:t xml:space="preserve"> should </w:t>
      </w:r>
      <w:r>
        <w:t>obtain</w:t>
      </w:r>
      <w:r w:rsidR="007769DF">
        <w:t xml:space="preserve"> the positive outcome at equal rates</w:t>
      </w:r>
      <w:r w:rsidR="00BE6777">
        <w:t>.</w:t>
      </w:r>
      <w:r w:rsidR="009C36E1">
        <w:t xml:space="preserve"> </w:t>
      </w:r>
      <w:r w:rsidR="00BE6777" w:rsidRPr="00EF06E2">
        <w:t>This</w:t>
      </w:r>
      <w:r w:rsidR="00FD314A" w:rsidRPr="00EF06E2">
        <w:t xml:space="preserve"> an appropriate definition of fairness when we are aware of historical biases whi</w:t>
      </w:r>
      <w:r w:rsidRPr="00EF06E2">
        <w:t>ch may have affected</w:t>
      </w:r>
      <w:r w:rsidR="00690541" w:rsidRPr="00EF06E2">
        <w:t xml:space="preserve"> data</w:t>
      </w:r>
      <w:r w:rsidRPr="00EF06E2">
        <w:t xml:space="preserve"> quality</w:t>
      </w:r>
      <w:r w:rsidR="00690541" w:rsidRPr="00EF06E2">
        <w:t xml:space="preserve"> [6</w:t>
      </w:r>
      <w:r w:rsidR="00FD314A" w:rsidRPr="00EF06E2">
        <w:t>]</w:t>
      </w:r>
      <w:r w:rsidR="00BE6777" w:rsidRPr="00EF06E2">
        <w:t>, which will be further considered under cause of unfairness</w:t>
      </w:r>
      <w:r w:rsidR="00690541" w:rsidRPr="00EF06E2">
        <w:t>.</w:t>
      </w:r>
      <w:r w:rsidRPr="00EF06E2">
        <w:t xml:space="preserve"> </w:t>
      </w:r>
      <w:r w:rsidR="00CE4979">
        <w:t>To measure demographic parity, Disparate Impact (DI) [6, 10] was calculated between privileged groups (Male &amp; White) and unprivileged groups.</w:t>
      </w:r>
      <w:r w:rsidR="00CE4979">
        <w:t xml:space="preserve"> </w:t>
      </w:r>
      <w:r w:rsidR="00C20166">
        <w:t>D</w:t>
      </w:r>
      <w:r>
        <w:t>emographic parity is enforced by several US government agencies where adverse impact of a group is determined using the</w:t>
      </w:r>
      <w:r w:rsidR="009C36E1">
        <w:t xml:space="preserve"> 4/5</w:t>
      </w:r>
      <w:r w:rsidR="009C36E1" w:rsidRPr="009C36E1">
        <w:rPr>
          <w:vertAlign w:val="superscript"/>
        </w:rPr>
        <w:t>th</w:t>
      </w:r>
      <w:r w:rsidR="009C36E1">
        <w:rPr>
          <w:vertAlign w:val="superscript"/>
        </w:rPr>
        <w:softHyphen/>
      </w:r>
      <w:r w:rsidR="009C36E1">
        <w:t xml:space="preserve">s rule </w:t>
      </w:r>
      <w:r w:rsidR="00C20166">
        <w:t xml:space="preserve">[7] </w:t>
      </w:r>
      <w:r w:rsidR="009C36E1">
        <w:t>which states</w:t>
      </w:r>
      <w:r w:rsidR="00C20166">
        <w:t xml:space="preserve"> </w:t>
      </w:r>
      <w:r w:rsidR="009C36E1">
        <w:t xml:space="preserve">that </w:t>
      </w:r>
      <w:r w:rsidR="00C20166">
        <w:t xml:space="preserve">if the selection rate is less than 80% when compared to </w:t>
      </w:r>
      <w:r w:rsidR="003F7FF0">
        <w:t xml:space="preserve">the </w:t>
      </w:r>
      <w:r w:rsidR="00C20166">
        <w:t xml:space="preserve">privileged group, it will adversely affect the unprivileged group [8]. </w:t>
      </w:r>
      <w:r w:rsidR="003B3548">
        <w:t>Equality of Opportunit</w:t>
      </w:r>
      <w:r w:rsidR="00690541">
        <w:t xml:space="preserve">y was </w:t>
      </w:r>
      <w:r w:rsidR="009C36E1">
        <w:t>measured</w:t>
      </w:r>
      <w:r w:rsidR="007F233A">
        <w:t xml:space="preserve"> using Equality of O</w:t>
      </w:r>
      <w:r w:rsidR="00690541">
        <w:t>pportunity</w:t>
      </w:r>
      <w:r w:rsidR="007F233A">
        <w:t xml:space="preserve"> (</w:t>
      </w:r>
      <w:proofErr w:type="spellStart"/>
      <w:r w:rsidR="007F233A">
        <w:t>EqO</w:t>
      </w:r>
      <w:proofErr w:type="spellEnd"/>
      <w:r w:rsidR="007F233A">
        <w:t>)</w:t>
      </w:r>
      <w:r w:rsidR="00354BBA">
        <w:t xml:space="preserve"> and </w:t>
      </w:r>
      <w:r w:rsidR="007F233A">
        <w:t>Average Odds (</w:t>
      </w:r>
      <w:proofErr w:type="spellStart"/>
      <w:r w:rsidR="007F233A">
        <w:t>AvO</w:t>
      </w:r>
      <w:proofErr w:type="spellEnd"/>
      <w:r w:rsidR="007F233A">
        <w:t>) d</w:t>
      </w:r>
      <w:r w:rsidR="00354BBA">
        <w:t>ifferences [10]</w:t>
      </w:r>
      <w:r w:rsidR="00690541">
        <w:t xml:space="preserve">. </w:t>
      </w:r>
      <w:proofErr w:type="spellStart"/>
      <w:r w:rsidR="00CE4979">
        <w:t>EqO</w:t>
      </w:r>
      <w:proofErr w:type="spellEnd"/>
      <w:r w:rsidR="00CE4979">
        <w:t xml:space="preserve"> difference is the </w:t>
      </w:r>
      <w:r w:rsidR="00CE4979">
        <w:t>differ</w:t>
      </w:r>
      <w:r w:rsidR="00CE4979">
        <w:t>ence in True Positive (TP) rates</w:t>
      </w:r>
      <w:r w:rsidR="00CE4979">
        <w:t xml:space="preserve"> </w:t>
      </w:r>
      <w:r w:rsidR="00CE4979">
        <w:t xml:space="preserve">and </w:t>
      </w:r>
      <w:proofErr w:type="spellStart"/>
      <w:r w:rsidR="007F233A">
        <w:t>AvO</w:t>
      </w:r>
      <w:proofErr w:type="spellEnd"/>
      <w:r w:rsidR="007F233A">
        <w:t xml:space="preserve"> difference</w:t>
      </w:r>
      <w:r w:rsidR="00690541">
        <w:t xml:space="preserve"> </w:t>
      </w:r>
      <w:r w:rsidR="00354BBA">
        <w:t>is a measure of</w:t>
      </w:r>
      <w:r w:rsidR="00690541">
        <w:t xml:space="preserve"> </w:t>
      </w:r>
      <w:r w:rsidR="00354BBA">
        <w:t>whether groups</w:t>
      </w:r>
      <w:r w:rsidR="00690541">
        <w:t xml:space="preserve"> are equal in their difference</w:t>
      </w:r>
      <w:r w:rsidR="00EF06E2">
        <w:t>s of both</w:t>
      </w:r>
      <w:r w:rsidR="00690541">
        <w:t xml:space="preserve"> False </w:t>
      </w:r>
      <w:r w:rsidR="007F233A">
        <w:t>Positive</w:t>
      </w:r>
      <w:r w:rsidR="00690541">
        <w:t xml:space="preserve"> (FP) and</w:t>
      </w:r>
      <w:r w:rsidR="00354BBA">
        <w:t xml:space="preserve"> TP rates</w:t>
      </w:r>
      <w:r w:rsidR="00690541">
        <w:t>.</w:t>
      </w:r>
      <w:r w:rsidR="00F65B64">
        <w:t xml:space="preserve"> </w:t>
      </w:r>
      <w:r w:rsidR="00354BBA">
        <w:rPr>
          <w:b/>
        </w:rPr>
        <w:t>Note:</w:t>
      </w:r>
      <w:r w:rsidR="00F65B64">
        <w:t xml:space="preserve"> </w:t>
      </w:r>
      <w:r w:rsidR="00F221DD">
        <w:t>DI</w:t>
      </w:r>
      <w:r w:rsidR="00F65B64">
        <w:t xml:space="preserve">, equality of opportunity difference and average odds difference </w:t>
      </w:r>
      <w:r w:rsidR="00354BBA">
        <w:t xml:space="preserve">for </w:t>
      </w:r>
      <w:r w:rsidR="00F65B64">
        <w:t xml:space="preserve">race were calculated </w:t>
      </w:r>
      <w:r w:rsidR="00354BBA">
        <w:t>against</w:t>
      </w:r>
      <w:r w:rsidR="00F65B64">
        <w:t xml:space="preserve"> the privileged </w:t>
      </w:r>
      <w:r w:rsidR="00354BBA">
        <w:t>group (White)</w:t>
      </w:r>
      <w:r w:rsidR="00F65B64">
        <w:t xml:space="preserve">. </w:t>
      </w:r>
    </w:p>
    <w:tbl>
      <w:tblPr>
        <w:tblStyle w:val="TableGrid"/>
        <w:tblW w:w="0" w:type="auto"/>
        <w:tblLayout w:type="fixed"/>
        <w:tblLook w:val="04A0" w:firstRow="1" w:lastRow="0" w:firstColumn="1" w:lastColumn="0" w:noHBand="0" w:noVBand="1"/>
      </w:tblPr>
      <w:tblGrid>
        <w:gridCol w:w="2122"/>
        <w:gridCol w:w="992"/>
        <w:gridCol w:w="992"/>
        <w:gridCol w:w="982"/>
        <w:gridCol w:w="982"/>
        <w:gridCol w:w="982"/>
        <w:gridCol w:w="982"/>
        <w:gridCol w:w="982"/>
      </w:tblGrid>
      <w:tr w:rsidR="00357E75" w:rsidTr="008728E8">
        <w:tc>
          <w:tcPr>
            <w:tcW w:w="2122" w:type="dxa"/>
            <w:shd w:val="clear" w:color="auto" w:fill="9CC2E5" w:themeFill="accent1" w:themeFillTint="99"/>
          </w:tcPr>
          <w:p w:rsidR="00357E75" w:rsidRPr="002542C9" w:rsidRDefault="00357E75" w:rsidP="00690541">
            <w:pPr>
              <w:jc w:val="center"/>
              <w:rPr>
                <w:b/>
                <w:sz w:val="20"/>
              </w:rPr>
            </w:pPr>
            <w:r w:rsidRPr="002542C9">
              <w:rPr>
                <w:b/>
                <w:sz w:val="20"/>
              </w:rPr>
              <w:t xml:space="preserve">Prot. </w:t>
            </w:r>
            <w:r w:rsidR="00690541" w:rsidRPr="002542C9">
              <w:rPr>
                <w:b/>
                <w:sz w:val="20"/>
              </w:rPr>
              <w:t>Attribute</w:t>
            </w:r>
          </w:p>
        </w:tc>
        <w:tc>
          <w:tcPr>
            <w:tcW w:w="1984" w:type="dxa"/>
            <w:gridSpan w:val="2"/>
            <w:shd w:val="clear" w:color="auto" w:fill="9CC2E5" w:themeFill="accent1" w:themeFillTint="99"/>
          </w:tcPr>
          <w:p w:rsidR="00357E75" w:rsidRPr="002542C9" w:rsidRDefault="00357E75" w:rsidP="00357E75">
            <w:pPr>
              <w:jc w:val="center"/>
              <w:rPr>
                <w:b/>
                <w:sz w:val="20"/>
                <w:szCs w:val="20"/>
              </w:rPr>
            </w:pPr>
            <w:r w:rsidRPr="002542C9">
              <w:rPr>
                <w:b/>
                <w:sz w:val="20"/>
                <w:szCs w:val="20"/>
              </w:rPr>
              <w:t>Sex</w:t>
            </w:r>
          </w:p>
        </w:tc>
        <w:tc>
          <w:tcPr>
            <w:tcW w:w="4910" w:type="dxa"/>
            <w:gridSpan w:val="5"/>
            <w:shd w:val="clear" w:color="auto" w:fill="9CC2E5" w:themeFill="accent1" w:themeFillTint="99"/>
          </w:tcPr>
          <w:p w:rsidR="00357E75" w:rsidRPr="002542C9" w:rsidRDefault="00357E75" w:rsidP="00357E75">
            <w:pPr>
              <w:jc w:val="center"/>
              <w:rPr>
                <w:b/>
                <w:sz w:val="20"/>
                <w:szCs w:val="20"/>
              </w:rPr>
            </w:pPr>
            <w:r w:rsidRPr="002542C9">
              <w:rPr>
                <w:b/>
                <w:sz w:val="20"/>
                <w:szCs w:val="20"/>
              </w:rPr>
              <w:t>Race</w:t>
            </w:r>
          </w:p>
        </w:tc>
      </w:tr>
      <w:tr w:rsidR="008728E8" w:rsidTr="008728E8">
        <w:tc>
          <w:tcPr>
            <w:tcW w:w="2122" w:type="dxa"/>
            <w:shd w:val="clear" w:color="auto" w:fill="9CC2E5" w:themeFill="accent1" w:themeFillTint="99"/>
          </w:tcPr>
          <w:p w:rsidR="00357E75" w:rsidRPr="002542C9" w:rsidRDefault="00357E75" w:rsidP="00357E75">
            <w:pPr>
              <w:jc w:val="center"/>
              <w:rPr>
                <w:b/>
                <w:sz w:val="20"/>
              </w:rPr>
            </w:pPr>
            <w:r w:rsidRPr="002542C9">
              <w:rPr>
                <w:b/>
                <w:sz w:val="20"/>
              </w:rPr>
              <w:t>Group</w:t>
            </w:r>
          </w:p>
        </w:tc>
        <w:tc>
          <w:tcPr>
            <w:tcW w:w="992" w:type="dxa"/>
            <w:shd w:val="clear" w:color="auto" w:fill="BDD6EE" w:themeFill="accent1" w:themeFillTint="66"/>
          </w:tcPr>
          <w:p w:rsidR="00357E75" w:rsidRPr="002542C9" w:rsidRDefault="00357E75" w:rsidP="00357E75">
            <w:pPr>
              <w:jc w:val="center"/>
              <w:rPr>
                <w:b/>
                <w:sz w:val="20"/>
                <w:szCs w:val="20"/>
              </w:rPr>
            </w:pPr>
            <w:r w:rsidRPr="002542C9">
              <w:rPr>
                <w:b/>
                <w:sz w:val="20"/>
                <w:szCs w:val="20"/>
              </w:rPr>
              <w:t>Male</w:t>
            </w:r>
          </w:p>
        </w:tc>
        <w:tc>
          <w:tcPr>
            <w:tcW w:w="992" w:type="dxa"/>
            <w:shd w:val="clear" w:color="auto" w:fill="BDD6EE" w:themeFill="accent1" w:themeFillTint="66"/>
          </w:tcPr>
          <w:p w:rsidR="00357E75" w:rsidRPr="002542C9" w:rsidRDefault="00357E75" w:rsidP="00357E75">
            <w:pPr>
              <w:jc w:val="center"/>
              <w:rPr>
                <w:b/>
                <w:sz w:val="20"/>
                <w:szCs w:val="20"/>
              </w:rPr>
            </w:pPr>
            <w:r w:rsidRPr="002542C9">
              <w:rPr>
                <w:b/>
                <w:sz w:val="20"/>
                <w:szCs w:val="20"/>
              </w:rPr>
              <w:t>Female</w:t>
            </w:r>
          </w:p>
        </w:tc>
        <w:tc>
          <w:tcPr>
            <w:tcW w:w="982" w:type="dxa"/>
            <w:shd w:val="clear" w:color="auto" w:fill="BDD6EE" w:themeFill="accent1" w:themeFillTint="66"/>
          </w:tcPr>
          <w:p w:rsidR="00357E75" w:rsidRPr="002542C9" w:rsidRDefault="00357E75" w:rsidP="00357E75">
            <w:pPr>
              <w:jc w:val="center"/>
              <w:rPr>
                <w:b/>
                <w:sz w:val="20"/>
                <w:szCs w:val="20"/>
              </w:rPr>
            </w:pPr>
            <w:r w:rsidRPr="002542C9">
              <w:rPr>
                <w:b/>
                <w:sz w:val="20"/>
                <w:szCs w:val="20"/>
              </w:rPr>
              <w:t>White</w:t>
            </w:r>
          </w:p>
        </w:tc>
        <w:tc>
          <w:tcPr>
            <w:tcW w:w="982" w:type="dxa"/>
            <w:shd w:val="clear" w:color="auto" w:fill="BDD6EE" w:themeFill="accent1" w:themeFillTint="66"/>
          </w:tcPr>
          <w:p w:rsidR="00357E75" w:rsidRPr="002542C9" w:rsidRDefault="00357E75" w:rsidP="00357E75">
            <w:pPr>
              <w:jc w:val="center"/>
              <w:rPr>
                <w:b/>
                <w:sz w:val="20"/>
                <w:szCs w:val="20"/>
              </w:rPr>
            </w:pPr>
            <w:r w:rsidRPr="002542C9">
              <w:rPr>
                <w:b/>
                <w:sz w:val="20"/>
                <w:szCs w:val="20"/>
              </w:rPr>
              <w:t>Black</w:t>
            </w:r>
          </w:p>
        </w:tc>
        <w:tc>
          <w:tcPr>
            <w:tcW w:w="982" w:type="dxa"/>
            <w:shd w:val="clear" w:color="auto" w:fill="BDD6EE" w:themeFill="accent1" w:themeFillTint="66"/>
          </w:tcPr>
          <w:p w:rsidR="00357E75" w:rsidRPr="002542C9" w:rsidRDefault="00357E75" w:rsidP="00357E75">
            <w:pPr>
              <w:jc w:val="center"/>
              <w:rPr>
                <w:b/>
                <w:sz w:val="20"/>
                <w:szCs w:val="20"/>
              </w:rPr>
            </w:pPr>
            <w:r w:rsidRPr="002542C9">
              <w:rPr>
                <w:b/>
                <w:sz w:val="20"/>
                <w:szCs w:val="20"/>
              </w:rPr>
              <w:t>A.I.E.</w:t>
            </w:r>
          </w:p>
        </w:tc>
        <w:tc>
          <w:tcPr>
            <w:tcW w:w="982" w:type="dxa"/>
            <w:shd w:val="clear" w:color="auto" w:fill="BDD6EE" w:themeFill="accent1" w:themeFillTint="66"/>
          </w:tcPr>
          <w:p w:rsidR="00357E75" w:rsidRPr="002542C9" w:rsidRDefault="00357E75" w:rsidP="00357E75">
            <w:pPr>
              <w:jc w:val="center"/>
              <w:rPr>
                <w:b/>
                <w:sz w:val="20"/>
                <w:szCs w:val="20"/>
              </w:rPr>
            </w:pPr>
            <w:r w:rsidRPr="002542C9">
              <w:rPr>
                <w:b/>
                <w:sz w:val="20"/>
                <w:szCs w:val="20"/>
              </w:rPr>
              <w:t>A.P.I.</w:t>
            </w:r>
          </w:p>
        </w:tc>
        <w:tc>
          <w:tcPr>
            <w:tcW w:w="982" w:type="dxa"/>
            <w:shd w:val="clear" w:color="auto" w:fill="BDD6EE" w:themeFill="accent1" w:themeFillTint="66"/>
          </w:tcPr>
          <w:p w:rsidR="00357E75" w:rsidRPr="002542C9" w:rsidRDefault="00357E75" w:rsidP="00357E75">
            <w:pPr>
              <w:jc w:val="center"/>
              <w:rPr>
                <w:sz w:val="20"/>
                <w:szCs w:val="20"/>
              </w:rPr>
            </w:pPr>
            <w:r w:rsidRPr="002542C9">
              <w:rPr>
                <w:b/>
                <w:sz w:val="20"/>
                <w:szCs w:val="20"/>
              </w:rPr>
              <w:t>Other</w:t>
            </w:r>
          </w:p>
        </w:tc>
      </w:tr>
      <w:tr w:rsidR="00357E75" w:rsidTr="008728E8">
        <w:tc>
          <w:tcPr>
            <w:tcW w:w="2122" w:type="dxa"/>
            <w:shd w:val="clear" w:color="auto" w:fill="BDD6EE" w:themeFill="accent1" w:themeFillTint="66"/>
          </w:tcPr>
          <w:p w:rsidR="00357E75" w:rsidRPr="002542C9" w:rsidRDefault="00357E75" w:rsidP="00357E75">
            <w:pPr>
              <w:jc w:val="center"/>
              <w:rPr>
                <w:b/>
                <w:sz w:val="20"/>
              </w:rPr>
            </w:pPr>
            <w:r w:rsidRPr="002542C9">
              <w:rPr>
                <w:b/>
                <w:sz w:val="20"/>
              </w:rPr>
              <w:t>Accuracy</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78.93%</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89.88%</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81.67%</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90.50%</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86.58%</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78.68%</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86.89%</w:t>
            </w:r>
          </w:p>
        </w:tc>
      </w:tr>
      <w:tr w:rsidR="00357E75" w:rsidTr="008728E8">
        <w:tc>
          <w:tcPr>
            <w:tcW w:w="2122" w:type="dxa"/>
            <w:shd w:val="clear" w:color="auto" w:fill="BDD6EE" w:themeFill="accent1" w:themeFillTint="66"/>
          </w:tcPr>
          <w:p w:rsidR="00357E75" w:rsidRPr="002542C9" w:rsidRDefault="00357E75" w:rsidP="00357E75">
            <w:pPr>
              <w:jc w:val="center"/>
              <w:rPr>
                <w:b/>
                <w:sz w:val="20"/>
              </w:rPr>
            </w:pPr>
            <w:r w:rsidRPr="002542C9">
              <w:rPr>
                <w:b/>
                <w:sz w:val="20"/>
              </w:rPr>
              <w:t>True Negative Rate</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65.39%</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85.35%</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70.38%</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85.83%</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83.22%</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65.69%</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79.51%</w:t>
            </w:r>
          </w:p>
        </w:tc>
      </w:tr>
      <w:tr w:rsidR="00357E75" w:rsidTr="008728E8">
        <w:tc>
          <w:tcPr>
            <w:tcW w:w="2122" w:type="dxa"/>
            <w:shd w:val="clear" w:color="auto" w:fill="BDD6EE" w:themeFill="accent1" w:themeFillTint="66"/>
          </w:tcPr>
          <w:p w:rsidR="00357E75" w:rsidRPr="002542C9" w:rsidRDefault="00357E75" w:rsidP="00357E75">
            <w:pPr>
              <w:jc w:val="center"/>
              <w:rPr>
                <w:b/>
                <w:sz w:val="20"/>
              </w:rPr>
            </w:pPr>
            <w:r w:rsidRPr="002542C9">
              <w:rPr>
                <w:b/>
                <w:sz w:val="20"/>
              </w:rPr>
              <w:t>False Negative Rate</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17.43%</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6.80%</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14.68%</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7.23%</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9.40%</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16.67%</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12.30%</w:t>
            </w:r>
          </w:p>
        </w:tc>
      </w:tr>
      <w:tr w:rsidR="00357E75" w:rsidTr="008728E8">
        <w:tc>
          <w:tcPr>
            <w:tcW w:w="2122" w:type="dxa"/>
            <w:shd w:val="clear" w:color="auto" w:fill="BDD6EE" w:themeFill="accent1" w:themeFillTint="66"/>
          </w:tcPr>
          <w:p w:rsidR="00357E75" w:rsidRPr="002542C9" w:rsidRDefault="00357E75" w:rsidP="00357E75">
            <w:pPr>
              <w:jc w:val="center"/>
              <w:rPr>
                <w:b/>
                <w:sz w:val="20"/>
              </w:rPr>
            </w:pPr>
            <w:r w:rsidRPr="002542C9">
              <w:rPr>
                <w:b/>
                <w:sz w:val="20"/>
              </w:rPr>
              <w:t>False Positive Rate</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3.64%</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3.32%</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3.65%</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2.27%</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4.03%</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4.66%</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0.82%</w:t>
            </w:r>
          </w:p>
        </w:tc>
      </w:tr>
      <w:tr w:rsidR="00357E75" w:rsidTr="008728E8">
        <w:tc>
          <w:tcPr>
            <w:tcW w:w="2122" w:type="dxa"/>
            <w:shd w:val="clear" w:color="auto" w:fill="BDD6EE" w:themeFill="accent1" w:themeFillTint="66"/>
          </w:tcPr>
          <w:p w:rsidR="00357E75" w:rsidRPr="002542C9" w:rsidRDefault="00357E75" w:rsidP="00357E75">
            <w:pPr>
              <w:jc w:val="center"/>
              <w:rPr>
                <w:b/>
                <w:sz w:val="20"/>
              </w:rPr>
            </w:pPr>
            <w:r w:rsidRPr="002542C9">
              <w:rPr>
                <w:b/>
                <w:sz w:val="20"/>
              </w:rPr>
              <w:t>True Positive Rate</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13.54%</w:t>
            </w:r>
          </w:p>
        </w:tc>
        <w:tc>
          <w:tcPr>
            <w:tcW w:w="992" w:type="dxa"/>
            <w:shd w:val="clear" w:color="auto" w:fill="DEEAF6" w:themeFill="accent1" w:themeFillTint="33"/>
          </w:tcPr>
          <w:p w:rsidR="00357E75" w:rsidRPr="002542C9" w:rsidRDefault="00357E75" w:rsidP="00357E75">
            <w:pPr>
              <w:jc w:val="center"/>
              <w:rPr>
                <w:sz w:val="20"/>
                <w:szCs w:val="20"/>
              </w:rPr>
            </w:pPr>
            <w:r w:rsidRPr="002542C9">
              <w:rPr>
                <w:sz w:val="20"/>
                <w:szCs w:val="20"/>
              </w:rPr>
              <w:t>4.54%</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11.29%</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4.68%</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3.36%</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12.99%</w:t>
            </w:r>
          </w:p>
        </w:tc>
        <w:tc>
          <w:tcPr>
            <w:tcW w:w="982" w:type="dxa"/>
            <w:shd w:val="clear" w:color="auto" w:fill="DEEAF6" w:themeFill="accent1" w:themeFillTint="33"/>
          </w:tcPr>
          <w:p w:rsidR="00357E75" w:rsidRPr="002542C9" w:rsidRDefault="00357E75" w:rsidP="00357E75">
            <w:pPr>
              <w:jc w:val="center"/>
              <w:rPr>
                <w:sz w:val="20"/>
                <w:szCs w:val="20"/>
              </w:rPr>
            </w:pPr>
            <w:r w:rsidRPr="002542C9">
              <w:rPr>
                <w:sz w:val="20"/>
                <w:szCs w:val="20"/>
              </w:rPr>
              <w:t>7.38%</w:t>
            </w:r>
          </w:p>
        </w:tc>
      </w:tr>
      <w:tr w:rsidR="00357E75" w:rsidTr="008728E8">
        <w:tc>
          <w:tcPr>
            <w:tcW w:w="2122" w:type="dxa"/>
            <w:shd w:val="clear" w:color="auto" w:fill="BDD6EE" w:themeFill="accent1" w:themeFillTint="66"/>
          </w:tcPr>
          <w:p w:rsidR="00357E75" w:rsidRPr="002542C9" w:rsidRDefault="00357E75" w:rsidP="00357E75">
            <w:pPr>
              <w:jc w:val="center"/>
              <w:rPr>
                <w:b/>
                <w:sz w:val="20"/>
              </w:rPr>
            </w:pPr>
            <w:r w:rsidRPr="002542C9">
              <w:rPr>
                <w:b/>
                <w:sz w:val="20"/>
              </w:rPr>
              <w:t>Disparate Impact</w:t>
            </w:r>
            <w:r w:rsidR="00F221DD">
              <w:rPr>
                <w:b/>
                <w:sz w:val="20"/>
              </w:rPr>
              <w:t xml:space="preserve"> (DI)</w:t>
            </w:r>
          </w:p>
        </w:tc>
        <w:tc>
          <w:tcPr>
            <w:tcW w:w="1984" w:type="dxa"/>
            <w:gridSpan w:val="2"/>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0.457</w:t>
            </w:r>
            <w:r w:rsidR="00652D93">
              <w:rPr>
                <w:color w:val="C00000"/>
                <w:sz w:val="20"/>
                <w:szCs w:val="20"/>
              </w:rPr>
              <w:t>4</w:t>
            </w:r>
          </w:p>
        </w:tc>
        <w:tc>
          <w:tcPr>
            <w:tcW w:w="982" w:type="dxa"/>
            <w:vMerge w:val="restart"/>
            <w:shd w:val="clear" w:color="auto" w:fill="9CC2E5" w:themeFill="accent1" w:themeFillTint="99"/>
          </w:tcPr>
          <w:p w:rsidR="00357E75" w:rsidRPr="002542C9" w:rsidRDefault="00357E75" w:rsidP="00357E75">
            <w:pPr>
              <w:jc w:val="center"/>
              <w:rPr>
                <w:sz w:val="20"/>
                <w:szCs w:val="20"/>
              </w:rPr>
            </w:pP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0.4648</w:t>
            </w: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0.4941</w:t>
            </w:r>
          </w:p>
        </w:tc>
        <w:tc>
          <w:tcPr>
            <w:tcW w:w="982" w:type="dxa"/>
            <w:shd w:val="clear" w:color="auto" w:fill="DEEAF6" w:themeFill="accent1" w:themeFillTint="33"/>
          </w:tcPr>
          <w:p w:rsidR="00357E75" w:rsidRPr="002542C9" w:rsidRDefault="00357E75" w:rsidP="00357E75">
            <w:pPr>
              <w:jc w:val="center"/>
              <w:rPr>
                <w:color w:val="00B050"/>
                <w:sz w:val="20"/>
                <w:szCs w:val="20"/>
              </w:rPr>
            </w:pPr>
            <w:r w:rsidRPr="002542C9">
              <w:rPr>
                <w:color w:val="00B050"/>
                <w:sz w:val="20"/>
                <w:szCs w:val="20"/>
              </w:rPr>
              <w:t>1.1810</w:t>
            </w: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0.5486</w:t>
            </w:r>
          </w:p>
        </w:tc>
      </w:tr>
      <w:tr w:rsidR="00357E75" w:rsidTr="008728E8">
        <w:tc>
          <w:tcPr>
            <w:tcW w:w="2122" w:type="dxa"/>
            <w:shd w:val="clear" w:color="auto" w:fill="BDD6EE" w:themeFill="accent1" w:themeFillTint="66"/>
          </w:tcPr>
          <w:p w:rsidR="00357E75" w:rsidRPr="002542C9" w:rsidRDefault="007F233A" w:rsidP="009C36E1">
            <w:pPr>
              <w:jc w:val="center"/>
              <w:rPr>
                <w:b/>
                <w:sz w:val="20"/>
              </w:rPr>
            </w:pPr>
            <w:proofErr w:type="spellStart"/>
            <w:r>
              <w:rPr>
                <w:b/>
                <w:sz w:val="20"/>
              </w:rPr>
              <w:t>EqO</w:t>
            </w:r>
            <w:proofErr w:type="spellEnd"/>
            <w:r w:rsidR="009C36E1">
              <w:rPr>
                <w:b/>
                <w:sz w:val="20"/>
              </w:rPr>
              <w:t xml:space="preserve"> </w:t>
            </w:r>
            <w:r w:rsidR="00357E75" w:rsidRPr="002542C9">
              <w:rPr>
                <w:b/>
                <w:sz w:val="20"/>
              </w:rPr>
              <w:t>Difference</w:t>
            </w:r>
          </w:p>
        </w:tc>
        <w:tc>
          <w:tcPr>
            <w:tcW w:w="1984" w:type="dxa"/>
            <w:gridSpan w:val="2"/>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-9.00%</w:t>
            </w:r>
          </w:p>
        </w:tc>
        <w:tc>
          <w:tcPr>
            <w:tcW w:w="982" w:type="dxa"/>
            <w:vMerge/>
            <w:shd w:val="clear" w:color="auto" w:fill="9CC2E5" w:themeFill="accent1" w:themeFillTint="99"/>
          </w:tcPr>
          <w:p w:rsidR="00357E75" w:rsidRPr="002542C9" w:rsidRDefault="00357E75" w:rsidP="00357E75">
            <w:pPr>
              <w:jc w:val="center"/>
              <w:rPr>
                <w:sz w:val="20"/>
                <w:szCs w:val="20"/>
              </w:rPr>
            </w:pP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-6.61%</w:t>
            </w: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-7.93%</w:t>
            </w:r>
          </w:p>
        </w:tc>
        <w:tc>
          <w:tcPr>
            <w:tcW w:w="982" w:type="dxa"/>
            <w:shd w:val="clear" w:color="auto" w:fill="DEEAF6" w:themeFill="accent1" w:themeFillTint="33"/>
          </w:tcPr>
          <w:p w:rsidR="00357E75" w:rsidRPr="002542C9" w:rsidRDefault="00357E75" w:rsidP="00357E75">
            <w:pPr>
              <w:jc w:val="center"/>
              <w:rPr>
                <w:color w:val="00B050"/>
                <w:sz w:val="20"/>
                <w:szCs w:val="20"/>
              </w:rPr>
            </w:pPr>
            <w:r w:rsidRPr="002542C9">
              <w:rPr>
                <w:color w:val="00B050"/>
                <w:sz w:val="20"/>
                <w:szCs w:val="20"/>
              </w:rPr>
              <w:t>1.70%</w:t>
            </w: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3.91%</w:t>
            </w:r>
          </w:p>
        </w:tc>
      </w:tr>
      <w:tr w:rsidR="00357E75" w:rsidTr="00EE6CD5">
        <w:trPr>
          <w:trHeight w:val="70"/>
        </w:trPr>
        <w:tc>
          <w:tcPr>
            <w:tcW w:w="2122" w:type="dxa"/>
            <w:shd w:val="clear" w:color="auto" w:fill="BDD6EE" w:themeFill="accent1" w:themeFillTint="66"/>
          </w:tcPr>
          <w:p w:rsidR="00357E75" w:rsidRPr="002542C9" w:rsidRDefault="007F233A" w:rsidP="00357E75">
            <w:pPr>
              <w:jc w:val="center"/>
              <w:rPr>
                <w:b/>
                <w:sz w:val="20"/>
              </w:rPr>
            </w:pPr>
            <w:proofErr w:type="spellStart"/>
            <w:r>
              <w:rPr>
                <w:b/>
                <w:sz w:val="20"/>
              </w:rPr>
              <w:t>AvO</w:t>
            </w:r>
            <w:proofErr w:type="spellEnd"/>
            <w:r w:rsidR="00357E75" w:rsidRPr="002542C9">
              <w:rPr>
                <w:b/>
                <w:sz w:val="20"/>
              </w:rPr>
              <w:t xml:space="preserve"> Difference</w:t>
            </w:r>
          </w:p>
        </w:tc>
        <w:tc>
          <w:tcPr>
            <w:tcW w:w="1984" w:type="dxa"/>
            <w:gridSpan w:val="2"/>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-4.66%</w:t>
            </w:r>
          </w:p>
        </w:tc>
        <w:tc>
          <w:tcPr>
            <w:tcW w:w="982" w:type="dxa"/>
            <w:vMerge/>
            <w:shd w:val="clear" w:color="auto" w:fill="9CC2E5" w:themeFill="accent1" w:themeFillTint="99"/>
          </w:tcPr>
          <w:p w:rsidR="00357E75" w:rsidRPr="002542C9" w:rsidRDefault="00357E75" w:rsidP="00357E75">
            <w:pPr>
              <w:jc w:val="center"/>
              <w:rPr>
                <w:sz w:val="20"/>
                <w:szCs w:val="20"/>
              </w:rPr>
            </w:pP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-4.00%</w:t>
            </w: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-3.78%</w:t>
            </w:r>
          </w:p>
        </w:tc>
        <w:tc>
          <w:tcPr>
            <w:tcW w:w="982" w:type="dxa"/>
            <w:shd w:val="clear" w:color="auto" w:fill="DEEAF6" w:themeFill="accent1" w:themeFillTint="33"/>
          </w:tcPr>
          <w:p w:rsidR="00357E75" w:rsidRPr="002542C9" w:rsidRDefault="00357E75" w:rsidP="00357E75">
            <w:pPr>
              <w:jc w:val="center"/>
              <w:rPr>
                <w:color w:val="00B050"/>
                <w:sz w:val="20"/>
                <w:szCs w:val="20"/>
              </w:rPr>
            </w:pPr>
            <w:r w:rsidRPr="002542C9">
              <w:rPr>
                <w:color w:val="00B050"/>
                <w:sz w:val="20"/>
                <w:szCs w:val="20"/>
              </w:rPr>
              <w:t>1.35%</w:t>
            </w:r>
          </w:p>
        </w:tc>
        <w:tc>
          <w:tcPr>
            <w:tcW w:w="982" w:type="dxa"/>
            <w:shd w:val="clear" w:color="auto" w:fill="DEEAF6" w:themeFill="accent1" w:themeFillTint="33"/>
          </w:tcPr>
          <w:p w:rsidR="00357E75" w:rsidRPr="002542C9" w:rsidRDefault="00357E75" w:rsidP="00357E75">
            <w:pPr>
              <w:jc w:val="center"/>
              <w:rPr>
                <w:color w:val="C00000"/>
                <w:sz w:val="20"/>
                <w:szCs w:val="20"/>
              </w:rPr>
            </w:pPr>
            <w:r w:rsidRPr="002542C9">
              <w:rPr>
                <w:color w:val="C00000"/>
                <w:sz w:val="20"/>
                <w:szCs w:val="20"/>
              </w:rPr>
              <w:t>-3.37%</w:t>
            </w:r>
          </w:p>
        </w:tc>
      </w:tr>
    </w:tbl>
    <w:p w:rsidR="004E6B73" w:rsidRDefault="00F65B64" w:rsidP="00EE6CD5">
      <w:r>
        <w:t xml:space="preserve">Interestingly, </w:t>
      </w:r>
      <w:r w:rsidR="00354BBA">
        <w:t xml:space="preserve">overall </w:t>
      </w:r>
      <w:r>
        <w:t>mode</w:t>
      </w:r>
      <w:r w:rsidR="00354BBA">
        <w:t xml:space="preserve">l accuracy for females </w:t>
      </w:r>
      <w:r w:rsidR="008D3E36">
        <w:t>(</w:t>
      </w:r>
      <w:r w:rsidR="008D3E36">
        <w:t>89.88%</w:t>
      </w:r>
      <w:r w:rsidR="008D3E36">
        <w:t xml:space="preserve">) </w:t>
      </w:r>
      <w:r w:rsidR="00354BBA">
        <w:t>is greater than males</w:t>
      </w:r>
      <w:r w:rsidR="008D3E36">
        <w:t xml:space="preserve"> (</w:t>
      </w:r>
      <w:r w:rsidR="008D3E36">
        <w:t>78.93%</w:t>
      </w:r>
      <w:r w:rsidR="008D3E36">
        <w:t>).</w:t>
      </w:r>
      <w:r w:rsidR="00354BBA">
        <w:t xml:space="preserve"> </w:t>
      </w:r>
      <w:r w:rsidR="008D3E36">
        <w:t xml:space="preserve">However, the high accuracy </w:t>
      </w:r>
      <w:r w:rsidR="008D3E36">
        <w:t>of females</w:t>
      </w:r>
      <w:r w:rsidR="008D3E36">
        <w:t xml:space="preserve"> is</w:t>
      </w:r>
      <w:r w:rsidR="00354BBA">
        <w:t xml:space="preserve"> </w:t>
      </w:r>
      <w:r w:rsidR="008D3E36">
        <w:t>mainly</w:t>
      </w:r>
      <w:r w:rsidR="00354BBA">
        <w:t xml:space="preserve"> </w:t>
      </w:r>
      <w:r w:rsidR="008D3E36">
        <w:t>comprised of</w:t>
      </w:r>
      <w:r>
        <w:t xml:space="preserve"> </w:t>
      </w:r>
      <w:r w:rsidR="008D3E36">
        <w:t xml:space="preserve">the </w:t>
      </w:r>
      <w:r w:rsidR="00354BBA">
        <w:t xml:space="preserve">85.35% </w:t>
      </w:r>
      <w:r w:rsidR="008D3E36">
        <w:t>True Negative (TN) rate</w:t>
      </w:r>
      <w:r w:rsidR="00354BBA">
        <w:t xml:space="preserve">. </w:t>
      </w:r>
      <w:r w:rsidR="008D3E36">
        <w:t xml:space="preserve">In contrast, </w:t>
      </w:r>
      <w:r w:rsidR="00C15928">
        <w:t>t</w:t>
      </w:r>
      <w:r w:rsidR="00354BBA">
        <w:t>he</w:t>
      </w:r>
      <w:r w:rsidR="008F3544">
        <w:t xml:space="preserve"> TP rate is</w:t>
      </w:r>
      <w:r w:rsidR="00354BBA">
        <w:t xml:space="preserve"> 3x greater for males</w:t>
      </w:r>
      <w:r w:rsidR="007F233A">
        <w:t xml:space="preserve"> which</w:t>
      </w:r>
      <w:r w:rsidR="008F3544">
        <w:t xml:space="preserve"> is reflected in </w:t>
      </w:r>
      <w:proofErr w:type="spellStart"/>
      <w:r w:rsidR="007F233A">
        <w:t>EqO</w:t>
      </w:r>
      <w:proofErr w:type="spellEnd"/>
      <w:r w:rsidR="007F233A">
        <w:t xml:space="preserve"> difference of 9%</w:t>
      </w:r>
      <w:r w:rsidR="008D3E36">
        <w:t xml:space="preserve"> and </w:t>
      </w:r>
      <w:proofErr w:type="spellStart"/>
      <w:r w:rsidR="008D3E36">
        <w:t>AvO</w:t>
      </w:r>
      <w:proofErr w:type="spellEnd"/>
      <w:r w:rsidR="008D3E36">
        <w:t xml:space="preserve"> difference of 4.66%</w:t>
      </w:r>
      <w:r w:rsidR="007F233A">
        <w:t xml:space="preserve">. </w:t>
      </w:r>
      <w:r w:rsidR="008D3E36">
        <w:t>The DI is 0.4574, less than 0.8</w:t>
      </w:r>
      <w:r w:rsidR="008D3E36">
        <w:t xml:space="preserve"> and</w:t>
      </w:r>
      <w:r w:rsidR="008D3E36">
        <w:t xml:space="preserve"> thus not adhering to the 4/5</w:t>
      </w:r>
      <w:r w:rsidR="008D3E36" w:rsidRPr="009C36E1">
        <w:rPr>
          <w:vertAlign w:val="superscript"/>
        </w:rPr>
        <w:t>th</w:t>
      </w:r>
      <w:r w:rsidR="008D3E36">
        <w:rPr>
          <w:vertAlign w:val="superscript"/>
        </w:rPr>
        <w:softHyphen/>
      </w:r>
      <w:r w:rsidR="008D3E36">
        <w:t>s rule</w:t>
      </w:r>
      <w:r w:rsidR="008D3E36">
        <w:t xml:space="preserve"> which</w:t>
      </w:r>
      <w:r w:rsidR="008D3E36">
        <w:t xml:space="preserve"> suggests women </w:t>
      </w:r>
      <w:r w:rsidR="008D3E36">
        <w:t>face</w:t>
      </w:r>
      <w:r w:rsidR="008D3E36">
        <w:t xml:space="preserve"> a</w:t>
      </w:r>
      <w:r w:rsidR="008D3E36">
        <w:t xml:space="preserve"> significant</w:t>
      </w:r>
      <w:r w:rsidR="008D3E36">
        <w:t xml:space="preserve"> adverse impact</w:t>
      </w:r>
      <w:r w:rsidR="008D3E36">
        <w:t xml:space="preserve"> around their salary compared to men. Despite the model displaying bias against men in its overall accuracy, the more worrying unfairness lies in the demographic parity and substantial lack of equality of opportunity</w:t>
      </w:r>
      <w:r w:rsidR="001C4237">
        <w:t xml:space="preserve"> for women. The model does not adhere well to any metric for fairness for either sex, notably favouring men with regards to the positive outcome.</w:t>
      </w:r>
      <w:r w:rsidR="00C00B0D">
        <w:t xml:space="preserve"> </w:t>
      </w:r>
      <w:bookmarkStart w:id="0" w:name="_GoBack"/>
      <w:bookmarkEnd w:id="0"/>
      <w:r w:rsidR="00C00B0D">
        <w:t xml:space="preserve">For </w:t>
      </w:r>
      <w:r w:rsidR="003F7FF0">
        <w:t xml:space="preserve">race, </w:t>
      </w:r>
      <w:r w:rsidR="00C00B0D">
        <w:t>a similar</w:t>
      </w:r>
      <w:r w:rsidR="003F7FF0">
        <w:t xml:space="preserve"> pattern</w:t>
      </w:r>
      <w:r w:rsidR="006E193F">
        <w:t xml:space="preserve"> as sex</w:t>
      </w:r>
      <w:r w:rsidR="003F7FF0">
        <w:t xml:space="preserve"> </w:t>
      </w:r>
      <w:r w:rsidR="00DF34F0">
        <w:t>emerged</w:t>
      </w:r>
      <w:r w:rsidR="003F7FF0">
        <w:t xml:space="preserve"> for </w:t>
      </w:r>
      <w:r w:rsidR="006E193F">
        <w:t xml:space="preserve">the privileged group (White) </w:t>
      </w:r>
      <w:r w:rsidR="003F7FF0">
        <w:t>compared</w:t>
      </w:r>
      <w:r w:rsidR="006E193F">
        <w:t xml:space="preserve"> </w:t>
      </w:r>
      <w:r w:rsidR="00DF34F0">
        <w:t>to</w:t>
      </w:r>
      <w:r w:rsidR="003F7FF0">
        <w:t xml:space="preserve"> the unprivileged groups</w:t>
      </w:r>
      <w:r w:rsidR="00DF34F0">
        <w:t>, with the exception of Asian-Pac-Islanders (</w:t>
      </w:r>
      <w:r w:rsidR="00DF34F0">
        <w:t>A.P.I.</w:t>
      </w:r>
      <w:r w:rsidR="00DF34F0">
        <w:t>).</w:t>
      </w:r>
      <w:r w:rsidR="003F7FF0">
        <w:t xml:space="preserve"> </w:t>
      </w:r>
      <w:r w:rsidR="00DF34F0">
        <w:t xml:space="preserve">The privileged group experienced worse accuracy but greater positive outcome rates shown in the values of </w:t>
      </w:r>
      <w:proofErr w:type="spellStart"/>
      <w:r w:rsidR="00DF34F0">
        <w:t>EqO</w:t>
      </w:r>
      <w:proofErr w:type="spellEnd"/>
      <w:r w:rsidR="00DF34F0">
        <w:t xml:space="preserve"> and </w:t>
      </w:r>
      <w:proofErr w:type="spellStart"/>
      <w:r w:rsidR="00DF34F0">
        <w:t>AvO</w:t>
      </w:r>
      <w:proofErr w:type="spellEnd"/>
      <w:r w:rsidR="003F7FF0">
        <w:t>.</w:t>
      </w:r>
      <w:r w:rsidR="004D6AA7">
        <w:t xml:space="preserve"> </w:t>
      </w:r>
      <w:r w:rsidR="00DF34F0">
        <w:t>Furthermore, a</w:t>
      </w:r>
      <w:r w:rsidR="004D6AA7">
        <w:t xml:space="preserve"> massive gap </w:t>
      </w:r>
      <w:r w:rsidR="003F7FF0">
        <w:t>exists in the</w:t>
      </w:r>
      <w:r w:rsidR="004D6AA7">
        <w:t xml:space="preserve"> </w:t>
      </w:r>
      <w:r w:rsidR="0053394E">
        <w:t>DI</w:t>
      </w:r>
      <w:r w:rsidR="004D6AA7">
        <w:t xml:space="preserve"> values from the ideal 0.8, suggesting a lack of fairness</w:t>
      </w:r>
      <w:r w:rsidR="00DF34F0">
        <w:t>.</w:t>
      </w:r>
      <w:r w:rsidR="004D6AA7">
        <w:t xml:space="preserve"> </w:t>
      </w:r>
      <w:r w:rsidR="00DF34F0">
        <w:t xml:space="preserve">Noting the exception of </w:t>
      </w:r>
      <w:r w:rsidR="00DF34F0">
        <w:t>A.P.I.</w:t>
      </w:r>
      <w:r w:rsidR="00DF34F0">
        <w:t>, t</w:t>
      </w:r>
      <w:r w:rsidR="00D5260F">
        <w:t xml:space="preserve">he </w:t>
      </w:r>
      <w:r w:rsidR="0053394E">
        <w:t>DI</w:t>
      </w:r>
      <w:r w:rsidR="00CE48E4">
        <w:t xml:space="preserve"> sa</w:t>
      </w:r>
      <w:r w:rsidR="003F7FF0">
        <w:t>tisfies the 4/5ths rule implying</w:t>
      </w:r>
      <w:r w:rsidR="006C5081">
        <w:t xml:space="preserve"> fair </w:t>
      </w:r>
      <w:r w:rsidR="003F7FF0">
        <w:t xml:space="preserve">demographic </w:t>
      </w:r>
      <w:r w:rsidR="006C5081">
        <w:t xml:space="preserve">parity </w:t>
      </w:r>
      <w:r w:rsidR="00DF34F0">
        <w:t xml:space="preserve">holds between </w:t>
      </w:r>
      <w:r w:rsidR="00CA18AC">
        <w:t>A.P.I.</w:t>
      </w:r>
      <w:r w:rsidR="00DF34F0">
        <w:t xml:space="preserve"> and whites, with model satisfying group fairness in this regard</w:t>
      </w:r>
      <w:r w:rsidR="00D5260F">
        <w:t xml:space="preserve">. They have a slight </w:t>
      </w:r>
      <w:r w:rsidR="00DF34F0">
        <w:t>advantage</w:t>
      </w:r>
      <w:r w:rsidR="00D5260F">
        <w:t xml:space="preserve"> with equality of outcome</w:t>
      </w:r>
      <w:r w:rsidR="00DF34F0">
        <w:t xml:space="preserve"> compared to whites</w:t>
      </w:r>
      <w:r w:rsidR="00D5260F">
        <w:t xml:space="preserve">, however, these are the smallest differences across the </w:t>
      </w:r>
      <w:r w:rsidR="003F7FF0">
        <w:t>all race groups</w:t>
      </w:r>
      <w:r w:rsidR="00D5260F">
        <w:t xml:space="preserve">. It’s worth </w:t>
      </w:r>
      <w:r w:rsidR="003F7FF0">
        <w:t>highlighting</w:t>
      </w:r>
      <w:r w:rsidR="00DF34F0">
        <w:t xml:space="preserve"> that A.P.I.</w:t>
      </w:r>
      <w:r w:rsidR="00D5260F">
        <w:t xml:space="preserve"> group makes </w:t>
      </w:r>
      <w:r w:rsidR="006E193F">
        <w:t>up less than 1% of the dataset.</w:t>
      </w:r>
      <w:r w:rsidR="00DF34F0" w:rsidRPr="00DF34F0">
        <w:t xml:space="preserve"> </w:t>
      </w:r>
      <w:r w:rsidR="00CA18AC">
        <w:t xml:space="preserve">Black people face the biggest demographic parity with a DI of 0.4648 and face unfairness across positive outcomes with an </w:t>
      </w:r>
      <w:proofErr w:type="spellStart"/>
      <w:r w:rsidR="00CA18AC">
        <w:t>AvO</w:t>
      </w:r>
      <w:proofErr w:type="spellEnd"/>
      <w:r w:rsidR="00CA18AC">
        <w:t xml:space="preserve"> difference of 4.66%. </w:t>
      </w:r>
      <w:proofErr w:type="spellStart"/>
      <w:r w:rsidR="00CA18AC">
        <w:t>Amer</w:t>
      </w:r>
      <w:proofErr w:type="spellEnd"/>
      <w:r w:rsidR="00CA18AC">
        <w:t xml:space="preserve">-Indian-Eskimo (A.I.E.) face the largest discrepancy in equality opportunity, 7.93%. The model does adhere to group fairness between whites and A.P.I., however, the other minority groups face significant bias with blacks, A.I.E.s facing adverse demographic disparity.  </w:t>
      </w:r>
      <w:r w:rsidR="00D5260F">
        <w:t>Comparatively,</w:t>
      </w:r>
      <w:r w:rsidR="006C5081">
        <w:t xml:space="preserve"> </w:t>
      </w:r>
      <w:r w:rsidR="006E193F">
        <w:t xml:space="preserve">within </w:t>
      </w:r>
      <w:r w:rsidR="00A92714">
        <w:t xml:space="preserve">both </w:t>
      </w:r>
      <w:r w:rsidR="006C5081">
        <w:t xml:space="preserve">race and sex, the privileged groups have the highest False Negative (FN) and highest TP rates. While the model </w:t>
      </w:r>
      <w:r w:rsidR="006E193F">
        <w:t xml:space="preserve">has </w:t>
      </w:r>
      <w:r w:rsidR="006C5081">
        <w:t xml:space="preserve">bias in misclassifying privileged groups, it may indicate a relationship between the FN and TP rates. Not only do the privileged groups have a significantly higher TP rate, the highest FN rate </w:t>
      </w:r>
      <w:r w:rsidR="006E193F">
        <w:t xml:space="preserve">suggests a </w:t>
      </w:r>
      <w:r w:rsidR="00A92714">
        <w:t xml:space="preserve">double-edged bias. On one hand, the model misclassifies privileged groups negatively more often, however, this suggests </w:t>
      </w:r>
      <w:r w:rsidR="006C5081">
        <w:t xml:space="preserve">the actual number of people making &gt;50K is </w:t>
      </w:r>
      <w:r w:rsidR="00F71C2C">
        <w:t>higher than and</w:t>
      </w:r>
      <w:r w:rsidR="006E193F">
        <w:t xml:space="preserve"> </w:t>
      </w:r>
      <w:r w:rsidR="00A92714">
        <w:t>not as</w:t>
      </w:r>
      <w:r w:rsidR="006E193F">
        <w:t xml:space="preserve"> fair </w:t>
      </w:r>
      <w:r w:rsidR="00F71C2C">
        <w:t>as</w:t>
      </w:r>
      <w:r w:rsidR="006C5081">
        <w:t xml:space="preserve"> the model suggests. </w:t>
      </w:r>
      <w:r w:rsidR="00F221DD">
        <w:t xml:space="preserve">The </w:t>
      </w:r>
      <w:r w:rsidR="0053394E">
        <w:t>DI</w:t>
      </w:r>
      <w:r w:rsidR="00F221DD">
        <w:t xml:space="preserve"> across </w:t>
      </w:r>
      <w:r w:rsidR="00A92714">
        <w:t xml:space="preserve">privileged and unprivileged in </w:t>
      </w:r>
      <w:r w:rsidR="00F221DD">
        <w:t>groups is similar, though sex faces more demographic parity on average. This is further highlight</w:t>
      </w:r>
      <w:r w:rsidR="006E193F">
        <w:t>ed</w:t>
      </w:r>
      <w:r w:rsidR="00F221DD">
        <w:t xml:space="preserve"> in the next section when considering sex within race while analysing the</w:t>
      </w:r>
      <w:r w:rsidR="00A92714">
        <w:t xml:space="preserve"> cause of the unfairness.</w:t>
      </w:r>
      <w:r w:rsidR="004E6B73">
        <w:br w:type="page"/>
      </w:r>
    </w:p>
    <w:p w:rsidR="004E6B73" w:rsidRPr="00FD314A" w:rsidRDefault="004E6B73" w:rsidP="004E6B73">
      <w:pPr>
        <w:spacing w:after="0" w:line="240" w:lineRule="auto"/>
        <w:rPr>
          <w:b/>
          <w:sz w:val="28"/>
        </w:rPr>
      </w:pPr>
      <w:r w:rsidRPr="00FD314A">
        <w:rPr>
          <w:b/>
          <w:sz w:val="28"/>
        </w:rPr>
        <w:lastRenderedPageBreak/>
        <w:t xml:space="preserve">2. </w:t>
      </w:r>
      <w:r w:rsidR="00AA6406">
        <w:rPr>
          <w:b/>
          <w:sz w:val="28"/>
        </w:rPr>
        <w:t>Cause of Unfairness</w:t>
      </w:r>
    </w:p>
    <w:p w:rsidR="00E96F22" w:rsidRDefault="001148A3" w:rsidP="000A7B01">
      <w:pPr>
        <w:spacing w:after="0" w:line="240" w:lineRule="auto"/>
      </w:pPr>
      <w:r>
        <w:t>To understand the role of the data</w:t>
      </w:r>
      <w:r w:rsidR="003D2B86">
        <w:t>set</w:t>
      </w:r>
      <w:r>
        <w:t xml:space="preserve"> in causing unfairness, </w:t>
      </w:r>
      <w:r w:rsidR="00507713">
        <w:t xml:space="preserve">I </w:t>
      </w:r>
      <w:r w:rsidR="003D2B86">
        <w:t>measured</w:t>
      </w:r>
      <w:r w:rsidR="00507713">
        <w:t xml:space="preserve"> </w:t>
      </w:r>
      <w:r w:rsidR="003D2B86">
        <w:t>the</w:t>
      </w:r>
      <w:r w:rsidR="00507713">
        <w:t xml:space="preserve"> </w:t>
      </w:r>
      <w:r>
        <w:t>proportion</w:t>
      </w:r>
      <w:r w:rsidR="003D2B86">
        <w:t xml:space="preserve"> of data made up by different groups</w:t>
      </w:r>
      <w:r>
        <w:t xml:space="preserve"> within both protected attributes. </w:t>
      </w:r>
      <w:r w:rsidR="00507713">
        <w:t xml:space="preserve">Furthermore I analysed the distribution </w:t>
      </w:r>
      <w:r>
        <w:t>of those making over</w:t>
      </w:r>
      <w:r w:rsidR="00507713">
        <w:t xml:space="preserve"> 50K</w:t>
      </w:r>
      <w:r>
        <w:t xml:space="preserve"> within each group</w:t>
      </w:r>
      <w:r w:rsidR="00507713">
        <w:t xml:space="preserve"> to see if there already exists </w:t>
      </w:r>
      <w:r>
        <w:t>unfairness within the data.</w:t>
      </w:r>
      <w:r w:rsidR="00E03F35">
        <w:t xml:space="preserve"> </w:t>
      </w:r>
    </w:p>
    <w:tbl>
      <w:tblPr>
        <w:tblStyle w:val="TableGrid"/>
        <w:tblW w:w="0" w:type="auto"/>
        <w:tblLayout w:type="fixed"/>
        <w:tblCellMar>
          <w:left w:w="0" w:type="dxa"/>
          <w:right w:w="0" w:type="dxa"/>
        </w:tblCellMar>
        <w:tblLook w:val="04A0" w:firstRow="1" w:lastRow="0" w:firstColumn="1" w:lastColumn="0" w:noHBand="0" w:noVBand="1"/>
      </w:tblPr>
      <w:tblGrid>
        <w:gridCol w:w="1555"/>
        <w:gridCol w:w="708"/>
        <w:gridCol w:w="709"/>
        <w:gridCol w:w="604"/>
        <w:gridCol w:w="604"/>
        <w:gridCol w:w="605"/>
        <w:gridCol w:w="604"/>
        <w:gridCol w:w="605"/>
        <w:gridCol w:w="604"/>
        <w:gridCol w:w="604"/>
        <w:gridCol w:w="605"/>
        <w:gridCol w:w="604"/>
        <w:gridCol w:w="605"/>
      </w:tblGrid>
      <w:tr w:rsidR="00357E75" w:rsidTr="004D6AA7">
        <w:trPr>
          <w:trHeight w:val="70"/>
        </w:trPr>
        <w:tc>
          <w:tcPr>
            <w:tcW w:w="1555" w:type="dxa"/>
            <w:shd w:val="clear" w:color="auto" w:fill="9CC2E5" w:themeFill="accent1" w:themeFillTint="99"/>
          </w:tcPr>
          <w:p w:rsidR="004713BA" w:rsidRPr="004D6AA7" w:rsidRDefault="008A5246" w:rsidP="002542C9">
            <w:pPr>
              <w:jc w:val="center"/>
              <w:rPr>
                <w:b/>
                <w:sz w:val="20"/>
                <w:szCs w:val="20"/>
              </w:rPr>
            </w:pPr>
            <w:r w:rsidRPr="004D6AA7">
              <w:rPr>
                <w:b/>
                <w:sz w:val="20"/>
                <w:szCs w:val="20"/>
              </w:rPr>
              <w:t>Pro</w:t>
            </w:r>
            <w:r w:rsidR="00357E75" w:rsidRPr="004D6AA7">
              <w:rPr>
                <w:b/>
                <w:sz w:val="20"/>
                <w:szCs w:val="20"/>
              </w:rPr>
              <w:t>t</w:t>
            </w:r>
            <w:r w:rsidRPr="004D6AA7">
              <w:rPr>
                <w:b/>
                <w:sz w:val="20"/>
                <w:szCs w:val="20"/>
              </w:rPr>
              <w:t xml:space="preserve">. </w:t>
            </w:r>
            <w:r w:rsidR="002542C9" w:rsidRPr="004D6AA7">
              <w:rPr>
                <w:b/>
                <w:sz w:val="20"/>
                <w:szCs w:val="20"/>
              </w:rPr>
              <w:t>Attributes</w:t>
            </w:r>
          </w:p>
        </w:tc>
        <w:tc>
          <w:tcPr>
            <w:tcW w:w="1417" w:type="dxa"/>
            <w:gridSpan w:val="2"/>
            <w:shd w:val="clear" w:color="auto" w:fill="9CC2E5" w:themeFill="accent1" w:themeFillTint="99"/>
          </w:tcPr>
          <w:p w:rsidR="004713BA" w:rsidRPr="004D6AA7" w:rsidRDefault="004713BA" w:rsidP="00354BBA">
            <w:pPr>
              <w:jc w:val="center"/>
              <w:rPr>
                <w:b/>
                <w:sz w:val="20"/>
                <w:szCs w:val="20"/>
              </w:rPr>
            </w:pPr>
            <w:r w:rsidRPr="004D6AA7">
              <w:rPr>
                <w:b/>
                <w:sz w:val="20"/>
                <w:szCs w:val="20"/>
              </w:rPr>
              <w:t>Sex</w:t>
            </w:r>
          </w:p>
        </w:tc>
        <w:tc>
          <w:tcPr>
            <w:tcW w:w="6044" w:type="dxa"/>
            <w:gridSpan w:val="10"/>
            <w:shd w:val="clear" w:color="auto" w:fill="9CC2E5" w:themeFill="accent1" w:themeFillTint="99"/>
          </w:tcPr>
          <w:p w:rsidR="004713BA" w:rsidRPr="004D6AA7" w:rsidRDefault="004713BA" w:rsidP="00354BBA">
            <w:pPr>
              <w:jc w:val="center"/>
              <w:rPr>
                <w:b/>
                <w:sz w:val="20"/>
                <w:szCs w:val="20"/>
              </w:rPr>
            </w:pPr>
            <w:r w:rsidRPr="004D6AA7">
              <w:rPr>
                <w:b/>
                <w:sz w:val="20"/>
                <w:szCs w:val="20"/>
              </w:rPr>
              <w:t>Race</w:t>
            </w:r>
          </w:p>
        </w:tc>
      </w:tr>
      <w:tr w:rsidR="008728E8" w:rsidTr="004D6AA7">
        <w:tc>
          <w:tcPr>
            <w:tcW w:w="1555" w:type="dxa"/>
            <w:shd w:val="clear" w:color="auto" w:fill="9CC2E5" w:themeFill="accent1" w:themeFillTint="99"/>
          </w:tcPr>
          <w:p w:rsidR="004713BA" w:rsidRPr="004D6AA7" w:rsidRDefault="008A5246" w:rsidP="00354BBA">
            <w:pPr>
              <w:jc w:val="center"/>
              <w:rPr>
                <w:b/>
                <w:sz w:val="20"/>
                <w:szCs w:val="20"/>
              </w:rPr>
            </w:pPr>
            <w:r w:rsidRPr="004D6AA7">
              <w:rPr>
                <w:b/>
                <w:sz w:val="20"/>
                <w:szCs w:val="20"/>
              </w:rPr>
              <w:t>Group</w:t>
            </w:r>
          </w:p>
        </w:tc>
        <w:tc>
          <w:tcPr>
            <w:tcW w:w="708" w:type="dxa"/>
            <w:shd w:val="clear" w:color="auto" w:fill="BDD6EE" w:themeFill="accent1" w:themeFillTint="66"/>
          </w:tcPr>
          <w:p w:rsidR="004713BA" w:rsidRPr="004D6AA7" w:rsidRDefault="004713BA" w:rsidP="00803E21">
            <w:pPr>
              <w:jc w:val="center"/>
              <w:rPr>
                <w:b/>
                <w:sz w:val="20"/>
                <w:szCs w:val="20"/>
              </w:rPr>
            </w:pPr>
            <w:r w:rsidRPr="004D6AA7">
              <w:rPr>
                <w:b/>
                <w:sz w:val="20"/>
                <w:szCs w:val="20"/>
              </w:rPr>
              <w:t>M</w:t>
            </w:r>
          </w:p>
        </w:tc>
        <w:tc>
          <w:tcPr>
            <w:tcW w:w="709" w:type="dxa"/>
            <w:shd w:val="clear" w:color="auto" w:fill="BDD6EE" w:themeFill="accent1" w:themeFillTint="66"/>
          </w:tcPr>
          <w:p w:rsidR="004713BA" w:rsidRPr="004D6AA7" w:rsidRDefault="00803E21" w:rsidP="00803E21">
            <w:pPr>
              <w:jc w:val="center"/>
              <w:rPr>
                <w:b/>
                <w:sz w:val="20"/>
                <w:szCs w:val="20"/>
              </w:rPr>
            </w:pPr>
            <w:r w:rsidRPr="004D6AA7">
              <w:rPr>
                <w:b/>
                <w:sz w:val="20"/>
                <w:szCs w:val="20"/>
              </w:rPr>
              <w:t>F</w:t>
            </w:r>
          </w:p>
        </w:tc>
        <w:tc>
          <w:tcPr>
            <w:tcW w:w="1208" w:type="dxa"/>
            <w:gridSpan w:val="2"/>
            <w:shd w:val="clear" w:color="auto" w:fill="BDD6EE" w:themeFill="accent1" w:themeFillTint="66"/>
          </w:tcPr>
          <w:p w:rsidR="004713BA" w:rsidRPr="004D6AA7" w:rsidRDefault="004713BA" w:rsidP="00354BBA">
            <w:pPr>
              <w:jc w:val="center"/>
              <w:rPr>
                <w:b/>
                <w:sz w:val="20"/>
                <w:szCs w:val="20"/>
              </w:rPr>
            </w:pPr>
            <w:r w:rsidRPr="004D6AA7">
              <w:rPr>
                <w:b/>
                <w:sz w:val="20"/>
                <w:szCs w:val="20"/>
              </w:rPr>
              <w:t>White</w:t>
            </w:r>
          </w:p>
        </w:tc>
        <w:tc>
          <w:tcPr>
            <w:tcW w:w="1209" w:type="dxa"/>
            <w:gridSpan w:val="2"/>
            <w:shd w:val="clear" w:color="auto" w:fill="BDD6EE" w:themeFill="accent1" w:themeFillTint="66"/>
          </w:tcPr>
          <w:p w:rsidR="004713BA" w:rsidRPr="004D6AA7" w:rsidRDefault="004713BA" w:rsidP="00354BBA">
            <w:pPr>
              <w:jc w:val="center"/>
              <w:rPr>
                <w:b/>
                <w:sz w:val="20"/>
                <w:szCs w:val="20"/>
              </w:rPr>
            </w:pPr>
            <w:r w:rsidRPr="004D6AA7">
              <w:rPr>
                <w:b/>
                <w:sz w:val="20"/>
                <w:szCs w:val="20"/>
              </w:rPr>
              <w:t>Black</w:t>
            </w:r>
          </w:p>
        </w:tc>
        <w:tc>
          <w:tcPr>
            <w:tcW w:w="1209" w:type="dxa"/>
            <w:gridSpan w:val="2"/>
            <w:shd w:val="clear" w:color="auto" w:fill="BDD6EE" w:themeFill="accent1" w:themeFillTint="66"/>
          </w:tcPr>
          <w:p w:rsidR="004713BA" w:rsidRPr="004D6AA7" w:rsidRDefault="004713BA" w:rsidP="00354BBA">
            <w:pPr>
              <w:jc w:val="center"/>
              <w:rPr>
                <w:b/>
                <w:sz w:val="20"/>
                <w:szCs w:val="20"/>
              </w:rPr>
            </w:pPr>
            <w:r w:rsidRPr="004D6AA7">
              <w:rPr>
                <w:b/>
                <w:sz w:val="20"/>
                <w:szCs w:val="20"/>
              </w:rPr>
              <w:t>A.I.E.</w:t>
            </w:r>
          </w:p>
        </w:tc>
        <w:tc>
          <w:tcPr>
            <w:tcW w:w="1209" w:type="dxa"/>
            <w:gridSpan w:val="2"/>
            <w:shd w:val="clear" w:color="auto" w:fill="BDD6EE" w:themeFill="accent1" w:themeFillTint="66"/>
          </w:tcPr>
          <w:p w:rsidR="004713BA" w:rsidRPr="004D6AA7" w:rsidRDefault="004713BA" w:rsidP="00354BBA">
            <w:pPr>
              <w:jc w:val="center"/>
              <w:rPr>
                <w:b/>
                <w:sz w:val="20"/>
                <w:szCs w:val="20"/>
              </w:rPr>
            </w:pPr>
            <w:r w:rsidRPr="004D6AA7">
              <w:rPr>
                <w:b/>
                <w:sz w:val="20"/>
                <w:szCs w:val="20"/>
              </w:rPr>
              <w:t>A.P.I.</w:t>
            </w:r>
          </w:p>
        </w:tc>
        <w:tc>
          <w:tcPr>
            <w:tcW w:w="1209" w:type="dxa"/>
            <w:gridSpan w:val="2"/>
            <w:shd w:val="clear" w:color="auto" w:fill="BDD6EE" w:themeFill="accent1" w:themeFillTint="66"/>
          </w:tcPr>
          <w:p w:rsidR="004713BA" w:rsidRPr="004D6AA7" w:rsidRDefault="004713BA" w:rsidP="00354BBA">
            <w:pPr>
              <w:jc w:val="center"/>
              <w:rPr>
                <w:sz w:val="20"/>
                <w:szCs w:val="20"/>
              </w:rPr>
            </w:pPr>
            <w:r w:rsidRPr="004D6AA7">
              <w:rPr>
                <w:b/>
                <w:sz w:val="20"/>
                <w:szCs w:val="20"/>
              </w:rPr>
              <w:t>Other</w:t>
            </w:r>
          </w:p>
        </w:tc>
      </w:tr>
      <w:tr w:rsidR="00803E21" w:rsidTr="004D6AA7">
        <w:tc>
          <w:tcPr>
            <w:tcW w:w="1555" w:type="dxa"/>
            <w:shd w:val="clear" w:color="auto" w:fill="BDD6EE" w:themeFill="accent1" w:themeFillTint="66"/>
          </w:tcPr>
          <w:p w:rsidR="004713BA" w:rsidRPr="004D6AA7" w:rsidRDefault="004713BA" w:rsidP="00354BBA">
            <w:pPr>
              <w:jc w:val="center"/>
              <w:rPr>
                <w:b/>
                <w:sz w:val="20"/>
                <w:szCs w:val="20"/>
              </w:rPr>
            </w:pPr>
            <w:r w:rsidRPr="004D6AA7">
              <w:rPr>
                <w:b/>
                <w:sz w:val="20"/>
                <w:szCs w:val="20"/>
              </w:rPr>
              <w:t>Data Proportion</w:t>
            </w:r>
          </w:p>
        </w:tc>
        <w:tc>
          <w:tcPr>
            <w:tcW w:w="708" w:type="dxa"/>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66.85%</w:t>
            </w:r>
          </w:p>
        </w:tc>
        <w:tc>
          <w:tcPr>
            <w:tcW w:w="709" w:type="dxa"/>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33.15%</w:t>
            </w:r>
          </w:p>
        </w:tc>
        <w:tc>
          <w:tcPr>
            <w:tcW w:w="1208" w:type="dxa"/>
            <w:gridSpan w:val="2"/>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85.50%</w:t>
            </w:r>
          </w:p>
        </w:tc>
        <w:tc>
          <w:tcPr>
            <w:tcW w:w="1209" w:type="dxa"/>
            <w:gridSpan w:val="2"/>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9.59%</w:t>
            </w:r>
          </w:p>
        </w:tc>
        <w:tc>
          <w:tcPr>
            <w:tcW w:w="1209" w:type="dxa"/>
            <w:gridSpan w:val="2"/>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3.11%</w:t>
            </w:r>
          </w:p>
        </w:tc>
        <w:tc>
          <w:tcPr>
            <w:tcW w:w="1209" w:type="dxa"/>
            <w:gridSpan w:val="2"/>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0.96%</w:t>
            </w:r>
          </w:p>
        </w:tc>
        <w:tc>
          <w:tcPr>
            <w:tcW w:w="1209" w:type="dxa"/>
            <w:gridSpan w:val="2"/>
            <w:shd w:val="clear" w:color="auto" w:fill="DEEAF6" w:themeFill="accent1" w:themeFillTint="33"/>
            <w:vAlign w:val="center"/>
          </w:tcPr>
          <w:p w:rsidR="004713BA" w:rsidRPr="004D6AA7" w:rsidRDefault="004713BA" w:rsidP="00357E75">
            <w:pPr>
              <w:jc w:val="center"/>
              <w:rPr>
                <w:sz w:val="18"/>
                <w:szCs w:val="20"/>
              </w:rPr>
            </w:pPr>
            <w:r w:rsidRPr="004D6AA7">
              <w:rPr>
                <w:sz w:val="18"/>
                <w:szCs w:val="20"/>
              </w:rPr>
              <w:t>0.83%</w:t>
            </w:r>
          </w:p>
        </w:tc>
      </w:tr>
      <w:tr w:rsidR="00357E75" w:rsidTr="004D6AA7">
        <w:trPr>
          <w:trHeight w:val="125"/>
        </w:trPr>
        <w:tc>
          <w:tcPr>
            <w:tcW w:w="1555" w:type="dxa"/>
            <w:vMerge w:val="restart"/>
            <w:shd w:val="clear" w:color="auto" w:fill="BDD6EE" w:themeFill="accent1" w:themeFillTint="66"/>
            <w:vAlign w:val="center"/>
          </w:tcPr>
          <w:p w:rsidR="00803E21" w:rsidRPr="004D6AA7" w:rsidRDefault="00803E21" w:rsidP="00803E21">
            <w:pPr>
              <w:jc w:val="center"/>
              <w:rPr>
                <w:b/>
                <w:sz w:val="20"/>
                <w:szCs w:val="20"/>
              </w:rPr>
            </w:pPr>
            <w:r w:rsidRPr="004D6AA7">
              <w:rPr>
                <w:b/>
                <w:sz w:val="20"/>
                <w:szCs w:val="20"/>
              </w:rPr>
              <w:t>Proportion of Group &gt;50</w:t>
            </w:r>
            <w:r w:rsidR="008A5246" w:rsidRPr="004D6AA7">
              <w:rPr>
                <w:b/>
                <w:sz w:val="20"/>
                <w:szCs w:val="20"/>
              </w:rPr>
              <w:t>K</w:t>
            </w:r>
          </w:p>
        </w:tc>
        <w:tc>
          <w:tcPr>
            <w:tcW w:w="708" w:type="dxa"/>
            <w:vMerge w:val="restart"/>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30.38%</w:t>
            </w:r>
          </w:p>
        </w:tc>
        <w:tc>
          <w:tcPr>
            <w:tcW w:w="709" w:type="dxa"/>
            <w:vMerge w:val="restart"/>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10.93%</w:t>
            </w:r>
          </w:p>
        </w:tc>
        <w:tc>
          <w:tcPr>
            <w:tcW w:w="1208" w:type="dxa"/>
            <w:gridSpan w:val="2"/>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25.40%</w:t>
            </w:r>
          </w:p>
        </w:tc>
        <w:tc>
          <w:tcPr>
            <w:tcW w:w="1209" w:type="dxa"/>
            <w:gridSpan w:val="2"/>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12.08%</w:t>
            </w:r>
          </w:p>
        </w:tc>
        <w:tc>
          <w:tcPr>
            <w:tcW w:w="1209" w:type="dxa"/>
            <w:gridSpan w:val="2"/>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11.70%</w:t>
            </w:r>
          </w:p>
        </w:tc>
        <w:tc>
          <w:tcPr>
            <w:tcW w:w="1209" w:type="dxa"/>
            <w:gridSpan w:val="2"/>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26.93%</w:t>
            </w:r>
          </w:p>
        </w:tc>
        <w:tc>
          <w:tcPr>
            <w:tcW w:w="1209" w:type="dxa"/>
            <w:gridSpan w:val="2"/>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12.32%</w:t>
            </w:r>
          </w:p>
        </w:tc>
      </w:tr>
      <w:tr w:rsidR="008728E8" w:rsidTr="004D6AA7">
        <w:trPr>
          <w:trHeight w:val="145"/>
        </w:trPr>
        <w:tc>
          <w:tcPr>
            <w:tcW w:w="1555" w:type="dxa"/>
            <w:vMerge/>
            <w:shd w:val="clear" w:color="auto" w:fill="BDD6EE" w:themeFill="accent1" w:themeFillTint="66"/>
          </w:tcPr>
          <w:p w:rsidR="00803E21" w:rsidRPr="004D6AA7" w:rsidRDefault="00803E21" w:rsidP="00803E21">
            <w:pPr>
              <w:jc w:val="center"/>
              <w:rPr>
                <w:sz w:val="20"/>
                <w:szCs w:val="20"/>
              </w:rPr>
            </w:pPr>
          </w:p>
        </w:tc>
        <w:tc>
          <w:tcPr>
            <w:tcW w:w="708" w:type="dxa"/>
            <w:vMerge/>
            <w:vAlign w:val="center"/>
          </w:tcPr>
          <w:p w:rsidR="00803E21" w:rsidRPr="004D6AA7" w:rsidRDefault="00803E21" w:rsidP="00357E75">
            <w:pPr>
              <w:jc w:val="center"/>
              <w:rPr>
                <w:sz w:val="20"/>
                <w:szCs w:val="20"/>
              </w:rPr>
            </w:pPr>
          </w:p>
        </w:tc>
        <w:tc>
          <w:tcPr>
            <w:tcW w:w="709" w:type="dxa"/>
            <w:vMerge/>
            <w:vAlign w:val="center"/>
          </w:tcPr>
          <w:p w:rsidR="00803E21" w:rsidRPr="004D6AA7" w:rsidRDefault="00803E21" w:rsidP="00357E75">
            <w:pPr>
              <w:jc w:val="center"/>
              <w:rPr>
                <w:sz w:val="20"/>
                <w:szCs w:val="20"/>
              </w:rPr>
            </w:pPr>
          </w:p>
        </w:tc>
        <w:tc>
          <w:tcPr>
            <w:tcW w:w="604"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M</w:t>
            </w:r>
          </w:p>
        </w:tc>
        <w:tc>
          <w:tcPr>
            <w:tcW w:w="604"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F</w:t>
            </w:r>
          </w:p>
        </w:tc>
        <w:tc>
          <w:tcPr>
            <w:tcW w:w="605"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M</w:t>
            </w:r>
          </w:p>
        </w:tc>
        <w:tc>
          <w:tcPr>
            <w:tcW w:w="604"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F</w:t>
            </w:r>
          </w:p>
        </w:tc>
        <w:tc>
          <w:tcPr>
            <w:tcW w:w="605"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M</w:t>
            </w:r>
          </w:p>
        </w:tc>
        <w:tc>
          <w:tcPr>
            <w:tcW w:w="604"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F</w:t>
            </w:r>
          </w:p>
        </w:tc>
        <w:tc>
          <w:tcPr>
            <w:tcW w:w="604"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M</w:t>
            </w:r>
          </w:p>
        </w:tc>
        <w:tc>
          <w:tcPr>
            <w:tcW w:w="605"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F</w:t>
            </w:r>
          </w:p>
        </w:tc>
        <w:tc>
          <w:tcPr>
            <w:tcW w:w="604"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M</w:t>
            </w:r>
          </w:p>
        </w:tc>
        <w:tc>
          <w:tcPr>
            <w:tcW w:w="605" w:type="dxa"/>
            <w:shd w:val="clear" w:color="auto" w:fill="BDD6EE" w:themeFill="accent1" w:themeFillTint="66"/>
            <w:vAlign w:val="center"/>
          </w:tcPr>
          <w:p w:rsidR="00803E21" w:rsidRPr="004D6AA7" w:rsidRDefault="00803E21" w:rsidP="00357E75">
            <w:pPr>
              <w:jc w:val="center"/>
              <w:rPr>
                <w:b/>
                <w:sz w:val="20"/>
                <w:szCs w:val="20"/>
              </w:rPr>
            </w:pPr>
            <w:r w:rsidRPr="004D6AA7">
              <w:rPr>
                <w:b/>
                <w:sz w:val="20"/>
                <w:szCs w:val="20"/>
              </w:rPr>
              <w:t>F</w:t>
            </w:r>
          </w:p>
        </w:tc>
      </w:tr>
      <w:tr w:rsidR="008A5246" w:rsidTr="004D6AA7">
        <w:trPr>
          <w:trHeight w:val="231"/>
        </w:trPr>
        <w:tc>
          <w:tcPr>
            <w:tcW w:w="1555" w:type="dxa"/>
            <w:vMerge/>
            <w:shd w:val="clear" w:color="auto" w:fill="BDD6EE" w:themeFill="accent1" w:themeFillTint="66"/>
          </w:tcPr>
          <w:p w:rsidR="00803E21" w:rsidRPr="004D6AA7" w:rsidRDefault="00803E21" w:rsidP="00803E21">
            <w:pPr>
              <w:jc w:val="center"/>
              <w:rPr>
                <w:sz w:val="20"/>
                <w:szCs w:val="20"/>
              </w:rPr>
            </w:pPr>
          </w:p>
        </w:tc>
        <w:tc>
          <w:tcPr>
            <w:tcW w:w="708" w:type="dxa"/>
            <w:vMerge/>
            <w:vAlign w:val="center"/>
          </w:tcPr>
          <w:p w:rsidR="00803E21" w:rsidRPr="004D6AA7" w:rsidRDefault="00803E21" w:rsidP="00357E75">
            <w:pPr>
              <w:jc w:val="center"/>
              <w:rPr>
                <w:sz w:val="20"/>
                <w:szCs w:val="20"/>
              </w:rPr>
            </w:pPr>
          </w:p>
        </w:tc>
        <w:tc>
          <w:tcPr>
            <w:tcW w:w="709" w:type="dxa"/>
            <w:vMerge/>
            <w:vAlign w:val="center"/>
          </w:tcPr>
          <w:p w:rsidR="00803E21" w:rsidRPr="004D6AA7" w:rsidRDefault="00803E21" w:rsidP="00357E75">
            <w:pPr>
              <w:jc w:val="center"/>
              <w:rPr>
                <w:sz w:val="20"/>
                <w:szCs w:val="20"/>
              </w:rPr>
            </w:pPr>
          </w:p>
        </w:tc>
        <w:tc>
          <w:tcPr>
            <w:tcW w:w="604" w:type="dxa"/>
            <w:shd w:val="clear" w:color="auto" w:fill="DEEAF6" w:themeFill="accent1" w:themeFillTint="33"/>
            <w:vAlign w:val="center"/>
          </w:tcPr>
          <w:p w:rsidR="00803E21" w:rsidRPr="004D6AA7" w:rsidRDefault="00803E21" w:rsidP="00357E75">
            <w:pPr>
              <w:jc w:val="center"/>
              <w:rPr>
                <w:sz w:val="18"/>
                <w:szCs w:val="20"/>
              </w:rPr>
            </w:pPr>
            <w:r w:rsidRPr="004D6AA7">
              <w:rPr>
                <w:sz w:val="18"/>
                <w:szCs w:val="20"/>
              </w:rPr>
              <w:t>31.55%</w:t>
            </w:r>
          </w:p>
        </w:tc>
        <w:tc>
          <w:tcPr>
            <w:tcW w:w="604"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11.84%</w:t>
            </w:r>
          </w:p>
        </w:tc>
        <w:tc>
          <w:tcPr>
            <w:tcW w:w="605"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18.26%</w:t>
            </w:r>
          </w:p>
        </w:tc>
        <w:tc>
          <w:tcPr>
            <w:tcW w:w="604"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5.72%</w:t>
            </w:r>
          </w:p>
        </w:tc>
        <w:tc>
          <w:tcPr>
            <w:tcW w:w="605"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14.04%</w:t>
            </w:r>
          </w:p>
        </w:tc>
        <w:tc>
          <w:tcPr>
            <w:tcW w:w="604"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8.11%</w:t>
            </w:r>
          </w:p>
        </w:tc>
        <w:tc>
          <w:tcPr>
            <w:tcW w:w="604"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33.93%</w:t>
            </w:r>
          </w:p>
        </w:tc>
        <w:tc>
          <w:tcPr>
            <w:tcW w:w="605"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13.35%</w:t>
            </w:r>
          </w:p>
        </w:tc>
        <w:tc>
          <w:tcPr>
            <w:tcW w:w="604"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15.54%</w:t>
            </w:r>
          </w:p>
        </w:tc>
        <w:tc>
          <w:tcPr>
            <w:tcW w:w="605" w:type="dxa"/>
            <w:shd w:val="clear" w:color="auto" w:fill="DEEAF6" w:themeFill="accent1" w:themeFillTint="33"/>
            <w:vAlign w:val="center"/>
          </w:tcPr>
          <w:p w:rsidR="00803E21" w:rsidRPr="004D6AA7" w:rsidRDefault="008A5246" w:rsidP="00357E75">
            <w:pPr>
              <w:jc w:val="center"/>
              <w:rPr>
                <w:sz w:val="18"/>
                <w:szCs w:val="20"/>
              </w:rPr>
            </w:pPr>
            <w:r w:rsidRPr="004D6AA7">
              <w:rPr>
                <w:sz w:val="18"/>
                <w:szCs w:val="20"/>
              </w:rPr>
              <w:t>7.10%</w:t>
            </w:r>
          </w:p>
        </w:tc>
      </w:tr>
    </w:tbl>
    <w:p w:rsidR="007B262D" w:rsidRDefault="002542C9" w:rsidP="00CC06CC">
      <w:pPr>
        <w:spacing w:line="240" w:lineRule="auto"/>
      </w:pPr>
      <w:r>
        <w:t xml:space="preserve">One source of bias </w:t>
      </w:r>
      <w:r w:rsidR="003D2B86">
        <w:t>in</w:t>
      </w:r>
      <w:r>
        <w:t xml:space="preserve"> the dataset is the unbalanced data</w:t>
      </w:r>
      <w:r w:rsidR="003D2B86">
        <w:t xml:space="preserve"> and within sex and race</w:t>
      </w:r>
      <w:r>
        <w:t xml:space="preserve"> </w:t>
      </w:r>
      <w:r w:rsidR="003D2B86">
        <w:t>there are clear disparities</w:t>
      </w:r>
      <w:r>
        <w:t>. As imbalanced data tends to be biased towards the majority class [9]</w:t>
      </w:r>
      <w:r w:rsidR="00EE6CD5">
        <w:t>,</w:t>
      </w:r>
      <w:r w:rsidR="00B75348">
        <w:t xml:space="preserve"> </w:t>
      </w:r>
      <w:r w:rsidR="003D2B86">
        <w:t>this is likely a factor</w:t>
      </w:r>
      <w:r w:rsidR="00B75348">
        <w:t xml:space="preserve"> </w:t>
      </w:r>
      <w:r w:rsidR="003D2B86">
        <w:t>of the disparate impact favouring privileged groups</w:t>
      </w:r>
      <w:r w:rsidR="00B75348">
        <w:t xml:space="preserve">. The </w:t>
      </w:r>
      <w:r w:rsidR="001148A3">
        <w:t>tiny</w:t>
      </w:r>
      <w:r w:rsidR="00B75348">
        <w:t xml:space="preserve"> proportion of </w:t>
      </w:r>
      <w:r w:rsidR="001148A3">
        <w:t xml:space="preserve">Asian-Pac-Islander people </w:t>
      </w:r>
      <w:r w:rsidR="00B75348">
        <w:t xml:space="preserve">may </w:t>
      </w:r>
      <w:r w:rsidR="001148A3">
        <w:t>have led to inaccurate modelling, hence</w:t>
      </w:r>
      <w:r w:rsidR="00B75348">
        <w:t xml:space="preserve"> why it </w:t>
      </w:r>
      <w:r w:rsidR="001148A3">
        <w:t>appeared to be the privileged class</w:t>
      </w:r>
      <w:r w:rsidR="00B75348">
        <w:t xml:space="preserve">. </w:t>
      </w:r>
      <w:r w:rsidR="001148A3">
        <w:t xml:space="preserve">The table above shows the privileged groups earning </w:t>
      </w:r>
      <w:r w:rsidR="00EE6CD5">
        <w:t>&gt;</w:t>
      </w:r>
      <w:r w:rsidR="001148A3">
        <w:t xml:space="preserve">50K at higher rates than their counter parts. </w:t>
      </w:r>
      <w:r w:rsidR="003D2B86">
        <w:t>With 23.39</w:t>
      </w:r>
      <w:r w:rsidR="00C022B4">
        <w:t xml:space="preserve">% </w:t>
      </w:r>
      <w:r w:rsidR="003D2B86">
        <w:t>of all people making</w:t>
      </w:r>
      <w:r w:rsidR="00C022B4">
        <w:t xml:space="preserve"> </w:t>
      </w:r>
      <w:r w:rsidR="00EE6CD5">
        <w:t>&gt;</w:t>
      </w:r>
      <w:r w:rsidR="00C022B4">
        <w:t xml:space="preserve">50K, </w:t>
      </w:r>
      <w:r w:rsidR="003D2B86">
        <w:t xml:space="preserve">the fact that 30.38% of men compared to only </w:t>
      </w:r>
      <w:r w:rsidR="00C022B4">
        <w:t>10.03% women</w:t>
      </w:r>
      <w:r w:rsidR="003D2B86">
        <w:t xml:space="preserve"> make over &gt;50K show a massive disparity across sex which undoubtedly causes unfairness in the model</w:t>
      </w:r>
      <w:r w:rsidR="00C022B4">
        <w:t>.</w:t>
      </w:r>
      <w:r w:rsidR="003D2B86">
        <w:t xml:space="preserve"> This seem disparity is seen across whites and other races, though the disparity is greater for sex. </w:t>
      </w:r>
      <w:r w:rsidR="00C022B4">
        <w:t xml:space="preserve">A combination of the most or least privilege groups has a compound effect on unfairness. </w:t>
      </w:r>
      <w:r w:rsidR="00CC06CC">
        <w:t>Disregarding the small</w:t>
      </w:r>
      <w:r w:rsidR="00EE6CD5">
        <w:t>,</w:t>
      </w:r>
      <w:r w:rsidR="00CC06CC">
        <w:t xml:space="preserve"> potentially inaccurate sample of A.P.I, w</w:t>
      </w:r>
      <w:r w:rsidR="00C022B4">
        <w:t>hite</w:t>
      </w:r>
      <w:r w:rsidR="00EE6CD5">
        <w:t xml:space="preserve"> men</w:t>
      </w:r>
      <w:r w:rsidR="00C022B4">
        <w:t xml:space="preserve"> </w:t>
      </w:r>
      <w:r w:rsidR="00EE6CD5">
        <w:t>are most</w:t>
      </w:r>
      <w:r w:rsidR="00CC06CC">
        <w:t xml:space="preserve"> likely to make </w:t>
      </w:r>
      <w:r w:rsidR="00EE6CD5">
        <w:t>&gt;</w:t>
      </w:r>
      <w:r w:rsidR="00C022B4">
        <w:t xml:space="preserve">50K and women of colour </w:t>
      </w:r>
      <w:r w:rsidR="00CC06CC">
        <w:t>are least likely</w:t>
      </w:r>
      <w:r w:rsidR="006E193F">
        <w:t xml:space="preserve">. </w:t>
      </w:r>
      <w:r w:rsidR="00C022B4">
        <w:t xml:space="preserve">Black women </w:t>
      </w:r>
      <w:r w:rsidR="00CC06CC">
        <w:t>have the smallest</w:t>
      </w:r>
      <w:r w:rsidR="00C022B4">
        <w:t xml:space="preserve"> </w:t>
      </w:r>
      <w:r w:rsidR="00CC06CC">
        <w:t>proportion (only 5.72%)</w:t>
      </w:r>
      <w:r w:rsidR="00C022B4">
        <w:t xml:space="preserve"> being ha</w:t>
      </w:r>
      <w:r w:rsidR="00CC06CC">
        <w:t>lf as likely to make &gt;50K compared to w</w:t>
      </w:r>
      <w:r w:rsidR="00C022B4">
        <w:t>hite women</w:t>
      </w:r>
      <w:r w:rsidR="00CC06CC">
        <w:t xml:space="preserve"> (11.84%)</w:t>
      </w:r>
      <w:r w:rsidR="006E193F">
        <w:t xml:space="preserve">. </w:t>
      </w:r>
      <w:r w:rsidR="001148A3">
        <w:t>This could be a reflection of historical bias in US society, reflecting both racism and sexism. For example black people tend to live in lower socio-economic area</w:t>
      </w:r>
      <w:r w:rsidR="00CC06CC">
        <w:t xml:space="preserve">s which strongly correlates to </w:t>
      </w:r>
      <w:r w:rsidR="001148A3">
        <w:t>wealth [</w:t>
      </w:r>
      <w:r w:rsidR="003F7FF0">
        <w:t>4</w:t>
      </w:r>
      <w:r w:rsidR="001148A3">
        <w:t>]</w:t>
      </w:r>
      <w:r w:rsidR="00CC06CC">
        <w:t xml:space="preserve"> and there has been a well-documented gender pay gap.</w:t>
      </w:r>
      <w:r w:rsidR="001148A3">
        <w:t xml:space="preserve"> </w:t>
      </w:r>
    </w:p>
    <w:p w:rsidR="008728E8" w:rsidRDefault="00CC06CC" w:rsidP="00C313E5">
      <w:pPr>
        <w:tabs>
          <w:tab w:val="left" w:pos="5445"/>
        </w:tabs>
        <w:spacing w:after="0" w:line="240" w:lineRule="auto"/>
      </w:pPr>
      <w:r>
        <w:t xml:space="preserve">To </w:t>
      </w:r>
      <w:r w:rsidR="000C1FC8">
        <w:t xml:space="preserve">analyse the model’s role </w:t>
      </w:r>
      <w:r w:rsidR="007B262D">
        <w:t xml:space="preserve">on </w:t>
      </w:r>
      <w:r w:rsidR="00521A19">
        <w:t>creating</w:t>
      </w:r>
      <w:r w:rsidR="007B262D">
        <w:t xml:space="preserve"> </w:t>
      </w:r>
      <w:r w:rsidR="006E193F">
        <w:t xml:space="preserve">unfairness, I performed a study </w:t>
      </w:r>
      <w:r w:rsidR="002542C9">
        <w:t>of the effect</w:t>
      </w:r>
      <w:r w:rsidR="006E193F">
        <w:t>s</w:t>
      </w:r>
      <w:r w:rsidR="002542C9">
        <w:t xml:space="preserve"> of</w:t>
      </w:r>
      <w:r w:rsidR="00521A19">
        <w:t xml:space="preserve"> different</w:t>
      </w:r>
      <w:r w:rsidR="002542C9">
        <w:t xml:space="preserve"> hyperparameters </w:t>
      </w:r>
      <w:r w:rsidR="00521A19">
        <w:t xml:space="preserve">settings on </w:t>
      </w:r>
      <w:r w:rsidR="002542C9">
        <w:t>disparate impact. I group</w:t>
      </w:r>
      <w:r w:rsidR="007B262D">
        <w:t>ed</w:t>
      </w:r>
      <w:r w:rsidR="002542C9">
        <w:t xml:space="preserve"> the race groups into ‘White’ and ‘</w:t>
      </w:r>
      <w:proofErr w:type="gramStart"/>
      <w:r w:rsidR="002542C9">
        <w:t>Other</w:t>
      </w:r>
      <w:proofErr w:type="gramEnd"/>
      <w:r w:rsidR="007B262D">
        <w:t>’</w:t>
      </w:r>
      <w:r w:rsidR="002542C9">
        <w:t xml:space="preserve">. The </w:t>
      </w:r>
      <w:proofErr w:type="spellStart"/>
      <w:r w:rsidR="002542C9">
        <w:t>hyperparameter</w:t>
      </w:r>
      <w:proofErr w:type="spellEnd"/>
      <w:r w:rsidR="002542C9">
        <w:t xml:space="preserve"> </w:t>
      </w:r>
      <w:r w:rsidR="00B75348">
        <w:t>analysis</w:t>
      </w:r>
      <w:r w:rsidR="007B262D">
        <w:t xml:space="preserve"> aimed to maximise the P Percent score over 50 trials. The P Percent score is the minimum DI value between two groups</w:t>
      </w:r>
      <w:r w:rsidR="006E193F">
        <w:t xml:space="preserve"> and </w:t>
      </w:r>
      <w:r w:rsidR="007B262D">
        <w:t>was used such that</w:t>
      </w:r>
      <w:r w:rsidR="006E193F">
        <w:t xml:space="preserve"> the objective value w</w:t>
      </w:r>
      <w:r w:rsidR="007B262D">
        <w:t xml:space="preserve">ould </w:t>
      </w:r>
      <w:r w:rsidR="008F67A6">
        <w:t xml:space="preserve">not continue to increase and instead </w:t>
      </w:r>
      <w:r w:rsidR="007B262D">
        <w:t>converge at 1</w:t>
      </w:r>
      <w:r w:rsidR="008F67A6">
        <w:t>, the ideal demographic parity.</w:t>
      </w:r>
    </w:p>
    <w:p w:rsidR="008728E8" w:rsidRDefault="007B262D" w:rsidP="000A7B01">
      <w:pPr>
        <w:spacing w:after="0" w:line="240" w:lineRule="auto"/>
      </w:pPr>
      <w:r>
        <w:rPr>
          <w:noProof/>
          <w:lang w:eastAsia="en-GB"/>
        </w:rPr>
        <mc:AlternateContent>
          <mc:Choice Requires="wps">
            <w:drawing>
              <wp:anchor distT="0" distB="0" distL="114300" distR="114300" simplePos="0" relativeHeight="251661312" behindDoc="0" locked="0" layoutInCell="1" allowOverlap="1" wp14:anchorId="0C338BA2" wp14:editId="30808ADD">
                <wp:simplePos x="0" y="0"/>
                <wp:positionH relativeFrom="column">
                  <wp:posOffset>4002405</wp:posOffset>
                </wp:positionH>
                <wp:positionV relativeFrom="paragraph">
                  <wp:posOffset>28156</wp:posOffset>
                </wp:positionV>
                <wp:extent cx="914400" cy="136188"/>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1361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BBA" w:rsidRDefault="00354BBA" w:rsidP="00B75348">
                            <w:r>
                              <w:t>Race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38BA2" id="_x0000_t202" coordsize="21600,21600" o:spt="202" path="m,l,21600r21600,l21600,xe">
                <v:stroke joinstyle="miter"/>
                <v:path gradientshapeok="t" o:connecttype="rect"/>
              </v:shapetype>
              <v:shape id="Text Box 4" o:spid="_x0000_s1026" type="#_x0000_t202" style="position:absolute;left:0;text-align:left;margin-left:315.15pt;margin-top:2.2pt;width:1in;height:10.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" fillcolor="white [3201]" stroked="f" strokeweight=".5pt">
                <v:textbox inset="0,0,0,0">
                  <w:txbxContent>
                    <w:p w:rsidR="00354BBA" w:rsidRDefault="00354BBA" w:rsidP="00B75348">
                      <w:r>
                        <w:t>Race</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1186180</wp:posOffset>
                </wp:positionH>
                <wp:positionV relativeFrom="paragraph">
                  <wp:posOffset>35979</wp:posOffset>
                </wp:positionV>
                <wp:extent cx="914400" cy="150779"/>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914400" cy="150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BBA" w:rsidRDefault="00354BBA">
                            <w:r>
                              <w:t>Sex</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93.4pt;margin-top:2.85pt;width:1in;height:11.8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" fillcolor="white [3201]" stroked="f" strokeweight=".5pt">
                <v:textbox inset="0,0,0,0">
                  <w:txbxContent>
                    <w:p w:rsidR="00354BBA" w:rsidRDefault="00354BBA">
                      <w:r>
                        <w:t>Sex</w:t>
                      </w:r>
                    </w:p>
                  </w:txbxContent>
                </v:textbox>
              </v:shape>
            </w:pict>
          </mc:Fallback>
        </mc:AlternateContent>
      </w:r>
    </w:p>
    <w:p w:rsidR="00B75348" w:rsidRDefault="00642808" w:rsidP="00CC06CC">
      <w:pPr>
        <w:spacing w:line="240" w:lineRule="auto"/>
      </w:pPr>
      <w:r w:rsidRPr="00642808">
        <w:rPr>
          <w:noProof/>
          <w:lang w:eastAsia="en-GB"/>
        </w:rPr>
        <w:drawing>
          <wp:inline distT="0" distB="0" distL="0" distR="0">
            <wp:extent cx="2834640" cy="1925791"/>
            <wp:effectExtent l="0" t="0" r="3810" b="0"/>
            <wp:docPr id="2" name="Picture 2" descr="C:\Users\jmcke\Documents\Me\University\MEng\CSC4009 - Fairness, Privacy and Interpretability in Machine Learning\Assignment\Code\CSC4009-FIP-in-ML\Assignment1\fig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cke\Documents\Me\University\MEng\CSC4009 - Fairness, Privacy and Interpretability in Machine Learning\Assignment\Code\CSC4009-FIP-in-ML\Assignment1\fig2.2.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7147" t="16287" r="7700" b="2731"/>
                    <a:stretch/>
                  </pic:blipFill>
                  <pic:spPr bwMode="auto">
                    <a:xfrm>
                      <a:off x="0" y="0"/>
                      <a:ext cx="2834948" cy="1926000"/>
                    </a:xfrm>
                    <a:prstGeom prst="rect">
                      <a:avLst/>
                    </a:prstGeom>
                    <a:noFill/>
                    <a:ln>
                      <a:noFill/>
                    </a:ln>
                    <a:extLst>
                      <a:ext uri="{53640926-AAD7-44D8-BBD7-CCE9431645EC}">
                        <a14:shadowObscured xmlns:a14="http://schemas.microsoft.com/office/drawing/2010/main"/>
                      </a:ext>
                    </a:extLst>
                  </pic:spPr>
                </pic:pic>
              </a:graphicData>
            </a:graphic>
          </wp:inline>
        </w:drawing>
      </w:r>
      <w:r w:rsidR="00B75348" w:rsidRPr="00642808">
        <w:rPr>
          <w:noProof/>
          <w:lang w:eastAsia="en-GB"/>
        </w:rPr>
        <w:drawing>
          <wp:inline distT="0" distB="0" distL="0" distR="0" wp14:anchorId="72C36E4F" wp14:editId="4E6BC15D">
            <wp:extent cx="2835058" cy="1936587"/>
            <wp:effectExtent l="0" t="0" r="3810" b="6985"/>
            <wp:docPr id="1" name="Picture 1" descr="C:\Users\jmcke\Documents\Me\University\MEng\CSC4009 - Fairness, Privacy and Interpretability in Machine Learning\Assignment\Code\CSC4009-FIP-in-ML\Assignment1\fig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cke\Documents\Me\University\MEng\CSC4009 - Fairness, Privacy and Interpretability in Machine Learning\Assignment\Code\CSC4009-FIP-in-ML\Assignment1\fig1.2.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6814" t="16054" r="8011" b="2506"/>
                    <a:stretch/>
                  </pic:blipFill>
                  <pic:spPr bwMode="auto">
                    <a:xfrm>
                      <a:off x="0" y="0"/>
                      <a:ext cx="2835370" cy="1936800"/>
                    </a:xfrm>
                    <a:prstGeom prst="rect">
                      <a:avLst/>
                    </a:prstGeom>
                    <a:noFill/>
                    <a:ln>
                      <a:noFill/>
                    </a:ln>
                    <a:extLst>
                      <a:ext uri="{53640926-AAD7-44D8-BBD7-CCE9431645EC}">
                        <a14:shadowObscured xmlns:a14="http://schemas.microsoft.com/office/drawing/2010/main"/>
                      </a:ext>
                    </a:extLst>
                  </pic:spPr>
                </pic:pic>
              </a:graphicData>
            </a:graphic>
          </wp:inline>
        </w:drawing>
      </w:r>
    </w:p>
    <w:p w:rsidR="00B75348" w:rsidRDefault="00BA3379" w:rsidP="00B75348">
      <w:pPr>
        <w:spacing w:after="0"/>
      </w:pPr>
      <w:r>
        <w:t xml:space="preserve">The </w:t>
      </w:r>
      <w:r w:rsidR="007B262D">
        <w:t>DI for S</w:t>
      </w:r>
      <w:r>
        <w:t xml:space="preserve">ex </w:t>
      </w:r>
      <w:r w:rsidR="008F67A6">
        <w:t xml:space="preserve">is maximised </w:t>
      </w:r>
      <w:r w:rsidR="00521A19">
        <w:t xml:space="preserve">as </w:t>
      </w:r>
      <w:r>
        <w:t>learning rate</w:t>
      </w:r>
      <w:r w:rsidR="00521A19">
        <w:t xml:space="preserve"> and </w:t>
      </w:r>
      <w:r>
        <w:t>number of estimators</w:t>
      </w:r>
      <w:r w:rsidR="00521A19">
        <w:t xml:space="preserve"> increase </w:t>
      </w:r>
      <w:r w:rsidR="00EE6CD5">
        <w:t xml:space="preserve">and </w:t>
      </w:r>
      <w:r w:rsidR="00521A19">
        <w:t>the subsample decreases</w:t>
      </w:r>
      <w:r w:rsidR="00EE6CD5">
        <w:t>.</w:t>
      </w:r>
      <w:r w:rsidR="00521A19">
        <w:t xml:space="preserve"> As they reach the upper</w:t>
      </w:r>
      <w:r w:rsidR="007B262D">
        <w:t xml:space="preserve"> </w:t>
      </w:r>
      <w:r w:rsidR="00521A19">
        <w:t>bounds</w:t>
      </w:r>
      <w:r w:rsidR="007B262D">
        <w:t>, DI appears to increase and thus the model is closer to fair demographic parity</w:t>
      </w:r>
      <w:r w:rsidR="00521A19">
        <w:t xml:space="preserve"> and group fairness</w:t>
      </w:r>
      <w:r w:rsidR="007B262D">
        <w:t xml:space="preserve">. </w:t>
      </w:r>
      <w:r>
        <w:t>This is reflect</w:t>
      </w:r>
      <w:r w:rsidR="00CE4535">
        <w:t>ed</w:t>
      </w:r>
      <w:r>
        <w:t xml:space="preserve"> </w:t>
      </w:r>
      <w:r w:rsidR="00CE4535">
        <w:t>in the</w:t>
      </w:r>
      <w:r>
        <w:t xml:space="preserve"> race</w:t>
      </w:r>
      <w:r w:rsidR="00CE4535">
        <w:t xml:space="preserve"> study</w:t>
      </w:r>
      <w:r>
        <w:t>, with the subsample</w:t>
      </w:r>
      <w:r w:rsidR="00CE4535">
        <w:t xml:space="preserve"> being less restrictive to increasing fairness</w:t>
      </w:r>
      <w:r>
        <w:t xml:space="preserve">. </w:t>
      </w:r>
      <w:r w:rsidR="008F67A6">
        <w:t>Fascinatingly</w:t>
      </w:r>
      <w:r w:rsidR="00FD024D">
        <w:t xml:space="preserve">, the </w:t>
      </w:r>
      <w:r w:rsidR="00CE4535">
        <w:t xml:space="preserve">accuracy did not suffer </w:t>
      </w:r>
      <w:r w:rsidR="00521A19">
        <w:t>large</w:t>
      </w:r>
      <w:r w:rsidR="008F67A6">
        <w:t xml:space="preserve"> decreases</w:t>
      </w:r>
      <w:r w:rsidR="00521A19">
        <w:t>,</w:t>
      </w:r>
      <w:r w:rsidR="008F67A6">
        <w:t xml:space="preserve"> as</w:t>
      </w:r>
      <w:r w:rsidR="00FD024D">
        <w:t xml:space="preserve"> the highest </w:t>
      </w:r>
      <w:r w:rsidR="00CE4535">
        <w:t>DI for Race &amp; Sex</w:t>
      </w:r>
      <w:r w:rsidR="00FD024D">
        <w:t xml:space="preserve"> produc</w:t>
      </w:r>
      <w:r w:rsidR="008F67A6">
        <w:t>ed training</w:t>
      </w:r>
      <w:r w:rsidR="00FD024D">
        <w:t xml:space="preserve"> </w:t>
      </w:r>
      <w:r w:rsidR="00CE4535">
        <w:t>accuracies</w:t>
      </w:r>
      <w:r w:rsidR="00FD024D">
        <w:t xml:space="preserve"> of 79.7%</w:t>
      </w:r>
      <w:r w:rsidR="00CE4535">
        <w:t xml:space="preserve"> and 78.7%</w:t>
      </w:r>
      <w:r w:rsidR="00FD024D">
        <w:t xml:space="preserve">. </w:t>
      </w:r>
      <w:r w:rsidR="00125C5D">
        <w:t>However both TP and FP increased,</w:t>
      </w:r>
      <w:r w:rsidR="008F67A6">
        <w:t xml:space="preserve"> even for the privileged group</w:t>
      </w:r>
      <w:r w:rsidR="00521A19">
        <w:t>,</w:t>
      </w:r>
      <w:r w:rsidR="008F67A6">
        <w:t xml:space="preserve"> suggesting</w:t>
      </w:r>
      <w:r w:rsidR="00125C5D">
        <w:t xml:space="preserve"> a slight accuracy hit </w:t>
      </w:r>
      <w:r w:rsidR="008F67A6">
        <w:t>leads to</w:t>
      </w:r>
      <w:r w:rsidR="00125C5D">
        <w:t xml:space="preserve"> more positive results at greater rate for unprivileged groups but still across the board</w:t>
      </w:r>
      <w:r w:rsidR="008F67A6">
        <w:t>.</w:t>
      </w:r>
      <w:r w:rsidR="00125C5D">
        <w:t xml:space="preserve"> The DI for Sex improved from </w:t>
      </w:r>
      <w:r w:rsidR="00652D93" w:rsidRPr="00652D93">
        <w:t>0.457</w:t>
      </w:r>
      <w:r w:rsidR="00652D93">
        <w:t>4</w:t>
      </w:r>
      <w:r w:rsidR="00125C5D">
        <w:t xml:space="preserve"> to </w:t>
      </w:r>
      <w:r w:rsidR="00125C5D" w:rsidRPr="00125C5D">
        <w:t>0.6776</w:t>
      </w:r>
      <w:r w:rsidR="00125C5D">
        <w:t xml:space="preserve"> and Race from </w:t>
      </w:r>
      <w:r w:rsidR="00652D93" w:rsidRPr="00652D93">
        <w:t>0.6116</w:t>
      </w:r>
      <w:r w:rsidR="00125C5D">
        <w:t xml:space="preserve"> to 0.8174</w:t>
      </w:r>
      <w:r w:rsidR="008F67A6">
        <w:t xml:space="preserve">, both significant </w:t>
      </w:r>
      <w:r w:rsidR="00521A19">
        <w:t>improvements with the latter adhering to group fairness under demographic parity</w:t>
      </w:r>
      <w:r w:rsidR="008F67A6">
        <w:t>,</w:t>
      </w:r>
      <w:r w:rsidR="00652D93">
        <w:t xml:space="preserve"> suggesting that fairness can be greatly affected b</w:t>
      </w:r>
      <w:r w:rsidR="008F67A6">
        <w:t xml:space="preserve">y </w:t>
      </w:r>
      <w:proofErr w:type="spellStart"/>
      <w:r w:rsidR="008F67A6">
        <w:t>hyperparameter</w:t>
      </w:r>
      <w:proofErr w:type="spellEnd"/>
      <w:r w:rsidR="008F67A6">
        <w:t xml:space="preserve"> choice within</w:t>
      </w:r>
      <w:r w:rsidR="00652D93">
        <w:t xml:space="preserve"> GBM model</w:t>
      </w:r>
      <w:r w:rsidR="008F67A6">
        <w:t>s</w:t>
      </w:r>
      <w:r w:rsidR="00652D93">
        <w:t>.</w:t>
      </w:r>
      <w:r w:rsidR="00690541">
        <w:br w:type="page"/>
      </w:r>
    </w:p>
    <w:p w:rsidR="00690541" w:rsidRDefault="00690541" w:rsidP="00690541">
      <w:pPr>
        <w:spacing w:after="0" w:line="240" w:lineRule="auto"/>
      </w:pPr>
      <w:r>
        <w:rPr>
          <w:b/>
          <w:sz w:val="28"/>
        </w:rPr>
        <w:lastRenderedPageBreak/>
        <w:t>References</w:t>
      </w:r>
    </w:p>
    <w:p w:rsidR="00CE4979" w:rsidRDefault="00690541" w:rsidP="001C4237">
      <w:pPr>
        <w:spacing w:line="240" w:lineRule="auto"/>
        <w:jc w:val="left"/>
        <w:rPr>
          <w:rStyle w:val="Hyperlink"/>
        </w:rPr>
      </w:pPr>
      <w:r>
        <w:t xml:space="preserve">[1] </w:t>
      </w:r>
      <w:r w:rsidR="00CE4979" w:rsidRPr="00CE4979">
        <w:t xml:space="preserve">J. </w:t>
      </w:r>
      <w:proofErr w:type="spellStart"/>
      <w:r w:rsidR="00CE4979" w:rsidRPr="00CE4979">
        <w:t>Jakobsen</w:t>
      </w:r>
      <w:proofErr w:type="spellEnd"/>
      <w:r w:rsidR="00CE4979" w:rsidRPr="00CE4979">
        <w:t xml:space="preserve">, C. </w:t>
      </w:r>
      <w:proofErr w:type="spellStart"/>
      <w:r w:rsidR="00CE4979" w:rsidRPr="00CE4979">
        <w:t>Gluud</w:t>
      </w:r>
      <w:proofErr w:type="spellEnd"/>
      <w:r w:rsidR="00CE4979" w:rsidRPr="00CE4979">
        <w:t xml:space="preserve">, J. </w:t>
      </w:r>
      <w:proofErr w:type="spellStart"/>
      <w:r w:rsidR="00CE4979" w:rsidRPr="00CE4979">
        <w:t>Wetterslev</w:t>
      </w:r>
      <w:proofErr w:type="spellEnd"/>
      <w:r w:rsidR="00CE4979" w:rsidRPr="00CE4979">
        <w:t xml:space="preserve"> and P. </w:t>
      </w:r>
      <w:proofErr w:type="spellStart"/>
      <w:r w:rsidR="00CE4979" w:rsidRPr="00CE4979">
        <w:t>Winkel</w:t>
      </w:r>
      <w:proofErr w:type="spellEnd"/>
      <w:r w:rsidR="00CE4979" w:rsidRPr="00CE4979">
        <w:t xml:space="preserve">, "When and how should multiple imputation be used for handling missing data in randomised clinical trials – a practical guide with flowcharts", </w:t>
      </w:r>
      <w:r w:rsidR="00CE4979" w:rsidRPr="007D39B7">
        <w:rPr>
          <w:i/>
        </w:rPr>
        <w:t>BMC Medical Research Methodology</w:t>
      </w:r>
      <w:r w:rsidR="00CE4979" w:rsidRPr="00CE4979">
        <w:t>, 2017. Available: https://bmcmedresmethodol.biomedcentral.com/articles/10.1186/s12874-017-0442-1. [Accessed 10 February 2021].</w:t>
      </w:r>
    </w:p>
    <w:p w:rsidR="007D39B7" w:rsidRDefault="007D39B7" w:rsidP="001C4237">
      <w:pPr>
        <w:spacing w:line="240" w:lineRule="auto"/>
        <w:jc w:val="left"/>
      </w:pPr>
      <w:r w:rsidRPr="007D39B7">
        <w:t>[2]</w:t>
      </w:r>
      <w:r>
        <w:t xml:space="preserve"> </w:t>
      </w:r>
      <w:r w:rsidRPr="007D39B7">
        <w:t xml:space="preserve">K. Grace-Martin, "How to Diagnose the Missing Data Mechanism - The Analysis Factor", </w:t>
      </w:r>
      <w:r w:rsidRPr="007D39B7">
        <w:rPr>
          <w:i/>
        </w:rPr>
        <w:t>The Analysis Factor</w:t>
      </w:r>
      <w:r w:rsidRPr="007D39B7">
        <w:t xml:space="preserve">, 2021. [Online]. Available: https://www.theanalysisfactor.com/missing-data-mechanism/. [Accessed: 10- Feb- 2021]. </w:t>
      </w:r>
    </w:p>
    <w:p w:rsidR="007D39B7" w:rsidRDefault="007D39B7" w:rsidP="001C4237">
      <w:pPr>
        <w:spacing w:line="240" w:lineRule="auto"/>
        <w:jc w:val="left"/>
      </w:pPr>
      <w:r w:rsidRPr="007D39B7">
        <w:t>[3]</w:t>
      </w:r>
      <w:r>
        <w:t xml:space="preserve"> </w:t>
      </w:r>
      <w:r w:rsidRPr="007D39B7">
        <w:t xml:space="preserve">W. </w:t>
      </w:r>
      <w:proofErr w:type="spellStart"/>
      <w:r w:rsidRPr="007D39B7">
        <w:t>Badr</w:t>
      </w:r>
      <w:proofErr w:type="spellEnd"/>
      <w:r w:rsidRPr="007D39B7">
        <w:t xml:space="preserve">, "6 Different Ways to Compensate for Missing Data (Data Imputation with examples)", </w:t>
      </w:r>
      <w:r w:rsidRPr="007D39B7">
        <w:rPr>
          <w:i/>
        </w:rPr>
        <w:t>Towards Data Science</w:t>
      </w:r>
      <w:r w:rsidRPr="007D39B7">
        <w:t xml:space="preserve">, 2019. [Online]. Available: https://towardsdatascience.com/6-different-ways-to-compensate-for-missing-values-data-imputation-with-examples-6022d9ca0779. [Accessed: 11- Feb- 2021]. </w:t>
      </w:r>
    </w:p>
    <w:p w:rsidR="003F7FF0" w:rsidRDefault="003F7FF0" w:rsidP="001C4237">
      <w:pPr>
        <w:spacing w:line="240" w:lineRule="auto"/>
        <w:jc w:val="left"/>
      </w:pPr>
      <w:r>
        <w:t>[4]</w:t>
      </w:r>
      <w:r w:rsidR="007D39B7">
        <w:rPr>
          <w:rFonts w:ascii="Arial" w:hAnsi="Arial" w:cs="Arial"/>
          <w:color w:val="000000"/>
          <w:sz w:val="20"/>
          <w:szCs w:val="20"/>
          <w:shd w:val="clear" w:color="auto" w:fill="FFFFFF"/>
        </w:rPr>
        <w:t xml:space="preserve"> </w:t>
      </w:r>
      <w:r w:rsidR="007D39B7" w:rsidRPr="007D39B7">
        <w:rPr>
          <w:color w:val="000000"/>
          <w:shd w:val="clear" w:color="auto" w:fill="FFFFFF"/>
        </w:rPr>
        <w:t>D. Easton-Brooks and A. Davis, "Wealth, Traditional Socioeconomic Indicators, and the Achievement Debt", </w:t>
      </w:r>
      <w:proofErr w:type="gramStart"/>
      <w:r w:rsidR="007D39B7" w:rsidRPr="007D39B7">
        <w:rPr>
          <w:i/>
          <w:iCs/>
          <w:color w:val="000000"/>
          <w:shd w:val="clear" w:color="auto" w:fill="FFFFFF"/>
        </w:rPr>
        <w:t>The</w:t>
      </w:r>
      <w:proofErr w:type="gramEnd"/>
      <w:r w:rsidR="007D39B7" w:rsidRPr="007D39B7">
        <w:rPr>
          <w:i/>
          <w:iCs/>
          <w:color w:val="000000"/>
          <w:shd w:val="clear" w:color="auto" w:fill="FFFFFF"/>
        </w:rPr>
        <w:t xml:space="preserve"> Journal of Negro Education</w:t>
      </w:r>
      <w:r w:rsidR="007D39B7" w:rsidRPr="007D39B7">
        <w:rPr>
          <w:color w:val="000000"/>
          <w:shd w:val="clear" w:color="auto" w:fill="FFFFFF"/>
        </w:rPr>
        <w:t>, vol. 76, no. 4, 2007. Available: https://www.jstor.org/stable/40037226?seq=1. [Accessed 15 February 2021].</w:t>
      </w:r>
    </w:p>
    <w:p w:rsidR="007D39B7" w:rsidRDefault="007D39B7" w:rsidP="001C4237">
      <w:pPr>
        <w:spacing w:line="240" w:lineRule="auto"/>
        <w:jc w:val="left"/>
      </w:pPr>
      <w:r w:rsidRPr="007D39B7">
        <w:t>[5]</w:t>
      </w:r>
      <w:r>
        <w:t xml:space="preserve"> </w:t>
      </w:r>
      <w:r w:rsidRPr="007D39B7">
        <w:t xml:space="preserve">Z. </w:t>
      </w:r>
      <w:proofErr w:type="spellStart"/>
      <w:r w:rsidRPr="007D39B7">
        <w:t>Zhong</w:t>
      </w:r>
      <w:proofErr w:type="spellEnd"/>
      <w:r w:rsidRPr="007D39B7">
        <w:t xml:space="preserve">, "A Tutorial on Fairness in Machine Learning", </w:t>
      </w:r>
      <w:r w:rsidRPr="007D39B7">
        <w:rPr>
          <w:i/>
        </w:rPr>
        <w:t>Towards Data Science</w:t>
      </w:r>
      <w:r w:rsidRPr="007D39B7">
        <w:t xml:space="preserve">, 2018. [Online]. Available: https://towardsdatascience.com/a-tutorial-on-fairness-in-machine-learning-3ff8ba1040cb. [Accessed: 11- Feb- 2021]. </w:t>
      </w:r>
    </w:p>
    <w:p w:rsidR="00E53FD6" w:rsidRPr="007D39B7" w:rsidRDefault="007D39B7" w:rsidP="001C4237">
      <w:pPr>
        <w:spacing w:line="240" w:lineRule="auto"/>
        <w:rPr>
          <w:sz w:val="24"/>
        </w:rPr>
      </w:pPr>
      <w:r w:rsidRPr="007D39B7">
        <w:rPr>
          <w:color w:val="000000"/>
          <w:szCs w:val="20"/>
          <w:shd w:val="clear" w:color="auto" w:fill="FFFFFF"/>
        </w:rPr>
        <w:t>[6]</w:t>
      </w:r>
      <w:r w:rsidR="00C00B0D">
        <w:rPr>
          <w:color w:val="000000"/>
          <w:szCs w:val="20"/>
          <w:shd w:val="clear" w:color="auto" w:fill="FFFFFF"/>
        </w:rPr>
        <w:t xml:space="preserve"> </w:t>
      </w:r>
      <w:r w:rsidRPr="007D39B7">
        <w:rPr>
          <w:color w:val="000000"/>
          <w:szCs w:val="20"/>
          <w:shd w:val="clear" w:color="auto" w:fill="FFFFFF"/>
        </w:rPr>
        <w:t>V. Cortez, "How to define fairness to detect and prevent discriminatory outcomes in Machine Learning", </w:t>
      </w:r>
      <w:r w:rsidRPr="007D39B7">
        <w:rPr>
          <w:i/>
          <w:iCs/>
          <w:color w:val="000000"/>
          <w:szCs w:val="20"/>
          <w:shd w:val="clear" w:color="auto" w:fill="FFFFFF"/>
        </w:rPr>
        <w:t>Towards Data Science</w:t>
      </w:r>
      <w:r w:rsidRPr="007D39B7">
        <w:rPr>
          <w:color w:val="000000"/>
          <w:szCs w:val="20"/>
          <w:shd w:val="clear" w:color="auto" w:fill="FFFFFF"/>
        </w:rPr>
        <w:t>, 2019. [Online]. Available: https://towardsdatascience.com/how-to-define-fairness-to-detect-and-prevent-discriminatory-outcomes-in-machine-learning-ef23fd408ef2. [Accessed: 11- Feb- 2021].</w:t>
      </w:r>
      <w:r w:rsidRPr="007D39B7">
        <w:rPr>
          <w:sz w:val="24"/>
        </w:rPr>
        <w:t xml:space="preserve"> </w:t>
      </w:r>
    </w:p>
    <w:p w:rsidR="00AA6406" w:rsidRPr="00E53FD6" w:rsidRDefault="00E53FD6" w:rsidP="001C4237">
      <w:pPr>
        <w:spacing w:line="240" w:lineRule="auto"/>
        <w:jc w:val="left"/>
        <w:rPr>
          <w:sz w:val="24"/>
        </w:rPr>
      </w:pPr>
      <w:r w:rsidRPr="00E53FD6">
        <w:rPr>
          <w:color w:val="000000"/>
          <w:szCs w:val="20"/>
          <w:shd w:val="clear" w:color="auto" w:fill="FFFFFF"/>
        </w:rPr>
        <w:t>[7]</w:t>
      </w:r>
      <w:r>
        <w:rPr>
          <w:color w:val="000000"/>
          <w:szCs w:val="20"/>
          <w:shd w:val="clear" w:color="auto" w:fill="FFFFFF"/>
        </w:rPr>
        <w:t xml:space="preserve"> </w:t>
      </w:r>
      <w:r w:rsidRPr="00E53FD6">
        <w:rPr>
          <w:color w:val="000000"/>
          <w:szCs w:val="20"/>
          <w:shd w:val="clear" w:color="auto" w:fill="FFFFFF"/>
        </w:rPr>
        <w:t>"Adverse Impact Analysis / Four-Fifths Rule", </w:t>
      </w:r>
      <w:r w:rsidRPr="00E53FD6">
        <w:rPr>
          <w:i/>
          <w:iCs/>
          <w:color w:val="000000"/>
          <w:szCs w:val="20"/>
          <w:shd w:val="clear" w:color="auto" w:fill="FFFFFF"/>
        </w:rPr>
        <w:t>Prevue HR</w:t>
      </w:r>
      <w:r w:rsidRPr="00E53FD6">
        <w:rPr>
          <w:color w:val="000000"/>
          <w:szCs w:val="20"/>
          <w:shd w:val="clear" w:color="auto" w:fill="FFFFFF"/>
        </w:rPr>
        <w:t>, 2009. [Online]. Available: https://www.prevuehr.com/resources/insights/adverse-impact-analysis-four-fifths-rule/. [Accessed: 13- Feb- 2021].</w:t>
      </w:r>
    </w:p>
    <w:p w:rsidR="00E53FD6" w:rsidRDefault="00E53FD6" w:rsidP="001C4237">
      <w:pPr>
        <w:spacing w:line="240" w:lineRule="auto"/>
        <w:jc w:val="left"/>
      </w:pPr>
      <w:r w:rsidRPr="00E53FD6">
        <w:t>[8]</w:t>
      </w:r>
      <w:r>
        <w:t xml:space="preserve"> </w:t>
      </w:r>
      <w:r w:rsidRPr="00E53FD6">
        <w:t xml:space="preserve">N. Mondragon, "What is Adverse Impact? And Why Measuring It Matters", </w:t>
      </w:r>
      <w:proofErr w:type="spellStart"/>
      <w:r>
        <w:rPr>
          <w:i/>
        </w:rPr>
        <w:t>H</w:t>
      </w:r>
      <w:r w:rsidRPr="00E53FD6">
        <w:rPr>
          <w:i/>
        </w:rPr>
        <w:t>ire</w:t>
      </w:r>
      <w:r>
        <w:rPr>
          <w:i/>
        </w:rPr>
        <w:t>Vue</w:t>
      </w:r>
      <w:proofErr w:type="spellEnd"/>
      <w:r w:rsidRPr="00E53FD6">
        <w:t xml:space="preserve">, 2018. [Online]. Available: https://www.hirevue.com/blog/hiring/what-is-adverse-impact-and-why-measuring-it-matters. [Accessed: 12- Feb- 2021]. </w:t>
      </w:r>
    </w:p>
    <w:p w:rsidR="00E53FD6" w:rsidRDefault="00E53FD6" w:rsidP="001C4237">
      <w:pPr>
        <w:spacing w:line="240" w:lineRule="auto"/>
        <w:jc w:val="left"/>
      </w:pPr>
      <w:r w:rsidRPr="00E53FD6">
        <w:t>[9]</w:t>
      </w:r>
      <w:r>
        <w:t xml:space="preserve"> </w:t>
      </w:r>
      <w:r w:rsidRPr="00E53FD6">
        <w:t xml:space="preserve">J. Brownlee, "A Gentle Introduction to Imbalanced Classification", </w:t>
      </w:r>
      <w:r w:rsidRPr="00E53FD6">
        <w:rPr>
          <w:i/>
        </w:rPr>
        <w:t>Machine Learning Mastery</w:t>
      </w:r>
      <w:r w:rsidRPr="00E53FD6">
        <w:t xml:space="preserve">, 2020. [Online]. Available: https://machinelearningmastery.com/what-is-imbalanced-classification. [Accessed: 13- Feb- 2021]. </w:t>
      </w:r>
    </w:p>
    <w:p w:rsidR="00354BBA" w:rsidRDefault="00E53FD6" w:rsidP="001C4237">
      <w:pPr>
        <w:spacing w:line="240" w:lineRule="auto"/>
        <w:jc w:val="left"/>
      </w:pPr>
      <w:r w:rsidRPr="00E53FD6">
        <w:t>[10]</w:t>
      </w:r>
      <w:r w:rsidR="00C00B0D">
        <w:t xml:space="preserve"> </w:t>
      </w:r>
      <w:r w:rsidRPr="00E53FD6">
        <w:t xml:space="preserve">A. Chidambaram, "Model Fairness &amp; Transparency", </w:t>
      </w:r>
      <w:r w:rsidRPr="00FB34AE">
        <w:rPr>
          <w:i/>
        </w:rPr>
        <w:t>Medium</w:t>
      </w:r>
      <w:r w:rsidRPr="00E53FD6">
        <w:t>, 2020. [Online]. Available: https://medium.com/sfu-cspmp/model-transparency-fairness-552a747b444#:~:text=Fairness%20metrics%20considered%20are%20as,between%20unprivileged%20and%20privileged%20groups. [Accessed: 15- Feb- 2021].</w:t>
      </w:r>
    </w:p>
    <w:sectPr w:rsidR="00354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AA1"/>
    <w:multiLevelType w:val="hybridMultilevel"/>
    <w:tmpl w:val="6D4A2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116193"/>
    <w:multiLevelType w:val="hybridMultilevel"/>
    <w:tmpl w:val="00E47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01"/>
    <w:rsid w:val="00001E9A"/>
    <w:rsid w:val="00013558"/>
    <w:rsid w:val="00075D95"/>
    <w:rsid w:val="00084318"/>
    <w:rsid w:val="000A7B01"/>
    <w:rsid w:val="000C1FC8"/>
    <w:rsid w:val="000E68D3"/>
    <w:rsid w:val="001148A3"/>
    <w:rsid w:val="00125C5D"/>
    <w:rsid w:val="00150A25"/>
    <w:rsid w:val="001A42B1"/>
    <w:rsid w:val="001C4237"/>
    <w:rsid w:val="001D1050"/>
    <w:rsid w:val="002542C9"/>
    <w:rsid w:val="002961D1"/>
    <w:rsid w:val="002F38EA"/>
    <w:rsid w:val="002F3E70"/>
    <w:rsid w:val="00306B4E"/>
    <w:rsid w:val="0031313C"/>
    <w:rsid w:val="00314301"/>
    <w:rsid w:val="00354BBA"/>
    <w:rsid w:val="00357E75"/>
    <w:rsid w:val="003B3548"/>
    <w:rsid w:val="003B364A"/>
    <w:rsid w:val="003D2B86"/>
    <w:rsid w:val="003D3784"/>
    <w:rsid w:val="003F7FF0"/>
    <w:rsid w:val="00410912"/>
    <w:rsid w:val="00422E0D"/>
    <w:rsid w:val="004713BA"/>
    <w:rsid w:val="00477073"/>
    <w:rsid w:val="00487D9D"/>
    <w:rsid w:val="004D05FD"/>
    <w:rsid w:val="004D6AA7"/>
    <w:rsid w:val="004E6B73"/>
    <w:rsid w:val="00507713"/>
    <w:rsid w:val="00521A19"/>
    <w:rsid w:val="0053394E"/>
    <w:rsid w:val="005557F4"/>
    <w:rsid w:val="005611B7"/>
    <w:rsid w:val="00596502"/>
    <w:rsid w:val="005E5CFC"/>
    <w:rsid w:val="00642808"/>
    <w:rsid w:val="00652D93"/>
    <w:rsid w:val="00690541"/>
    <w:rsid w:val="00693A59"/>
    <w:rsid w:val="006C5081"/>
    <w:rsid w:val="006D4D1E"/>
    <w:rsid w:val="006E193F"/>
    <w:rsid w:val="00752818"/>
    <w:rsid w:val="007769DF"/>
    <w:rsid w:val="00787FB9"/>
    <w:rsid w:val="007B262D"/>
    <w:rsid w:val="007B52A0"/>
    <w:rsid w:val="007D39B7"/>
    <w:rsid w:val="007F233A"/>
    <w:rsid w:val="00803E21"/>
    <w:rsid w:val="008728E8"/>
    <w:rsid w:val="008A5246"/>
    <w:rsid w:val="008A5FD9"/>
    <w:rsid w:val="008D3E36"/>
    <w:rsid w:val="008F3544"/>
    <w:rsid w:val="008F67A6"/>
    <w:rsid w:val="009272FF"/>
    <w:rsid w:val="00944376"/>
    <w:rsid w:val="00993D60"/>
    <w:rsid w:val="00996A35"/>
    <w:rsid w:val="009A2DD7"/>
    <w:rsid w:val="009A520A"/>
    <w:rsid w:val="009C36E1"/>
    <w:rsid w:val="00A675C5"/>
    <w:rsid w:val="00A911EA"/>
    <w:rsid w:val="00A92714"/>
    <w:rsid w:val="00AA6406"/>
    <w:rsid w:val="00B75348"/>
    <w:rsid w:val="00BA3379"/>
    <w:rsid w:val="00BD177C"/>
    <w:rsid w:val="00BE0630"/>
    <w:rsid w:val="00BE6777"/>
    <w:rsid w:val="00C00B0D"/>
    <w:rsid w:val="00C022B4"/>
    <w:rsid w:val="00C15928"/>
    <w:rsid w:val="00C20166"/>
    <w:rsid w:val="00C313E5"/>
    <w:rsid w:val="00C46F0B"/>
    <w:rsid w:val="00C6341C"/>
    <w:rsid w:val="00CA18AC"/>
    <w:rsid w:val="00CB4CCC"/>
    <w:rsid w:val="00CB58D4"/>
    <w:rsid w:val="00CC06CC"/>
    <w:rsid w:val="00CC58E4"/>
    <w:rsid w:val="00CE4535"/>
    <w:rsid w:val="00CE48E4"/>
    <w:rsid w:val="00CE4979"/>
    <w:rsid w:val="00D5260F"/>
    <w:rsid w:val="00DB3988"/>
    <w:rsid w:val="00DF34F0"/>
    <w:rsid w:val="00E03F35"/>
    <w:rsid w:val="00E53FD6"/>
    <w:rsid w:val="00E5602D"/>
    <w:rsid w:val="00E969C2"/>
    <w:rsid w:val="00E96F22"/>
    <w:rsid w:val="00EE6300"/>
    <w:rsid w:val="00EE6CD5"/>
    <w:rsid w:val="00EF06E2"/>
    <w:rsid w:val="00EF6634"/>
    <w:rsid w:val="00F13DA4"/>
    <w:rsid w:val="00F221DD"/>
    <w:rsid w:val="00F65B64"/>
    <w:rsid w:val="00F71C2C"/>
    <w:rsid w:val="00FA3DC8"/>
    <w:rsid w:val="00FA5C5B"/>
    <w:rsid w:val="00FB34AE"/>
    <w:rsid w:val="00FC0B78"/>
    <w:rsid w:val="00FD024D"/>
    <w:rsid w:val="00FD314A"/>
    <w:rsid w:val="00FF6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93D26-4FAF-447B-9B76-D3746BE2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01"/>
    <w:pPr>
      <w:jc w:val="both"/>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B01"/>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0A7B01"/>
    <w:rPr>
      <w:rFonts w:ascii="Times New Roman" w:eastAsiaTheme="majorEastAsia" w:hAnsi="Times New Roman" w:cs="Times New Roman"/>
      <w:spacing w:val="-10"/>
      <w:kern w:val="28"/>
      <w:sz w:val="56"/>
      <w:szCs w:val="56"/>
    </w:rPr>
  </w:style>
  <w:style w:type="character" w:styleId="Hyperlink">
    <w:name w:val="Hyperlink"/>
    <w:basedOn w:val="DefaultParagraphFont"/>
    <w:uiPriority w:val="99"/>
    <w:unhideWhenUsed/>
    <w:rsid w:val="000A7B01"/>
    <w:rPr>
      <w:color w:val="0563C1" w:themeColor="hyperlink"/>
      <w:u w:val="single"/>
    </w:rPr>
  </w:style>
  <w:style w:type="character" w:styleId="FollowedHyperlink">
    <w:name w:val="FollowedHyperlink"/>
    <w:basedOn w:val="DefaultParagraphFont"/>
    <w:uiPriority w:val="99"/>
    <w:semiHidden/>
    <w:unhideWhenUsed/>
    <w:rsid w:val="008A5FD9"/>
    <w:rPr>
      <w:color w:val="954F72" w:themeColor="followedHyperlink"/>
      <w:u w:val="single"/>
    </w:rPr>
  </w:style>
  <w:style w:type="table" w:styleId="TableGrid">
    <w:name w:val="Table Grid"/>
    <w:basedOn w:val="TableNormal"/>
    <w:uiPriority w:val="39"/>
    <w:rsid w:val="003B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7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21A8-8D4D-4C24-BE07-1B5F7246B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3990</TotalTime>
  <Pages>4</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Imagine</dc:creator>
  <cp:keywords/>
  <dc:description/>
  <cp:lastModifiedBy>Jamie McKeown</cp:lastModifiedBy>
  <cp:revision>21</cp:revision>
  <cp:lastPrinted>2021-02-19T23:26:00Z</cp:lastPrinted>
  <dcterms:created xsi:type="dcterms:W3CDTF">2021-02-11T15:19:00Z</dcterms:created>
  <dcterms:modified xsi:type="dcterms:W3CDTF">2021-02-19T23:46:00Z</dcterms:modified>
</cp:coreProperties>
</file>