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Relationship Id="rId3" Type="http://schemas.openxmlformats.org/officeDocument/2006/relationships/footer" Target="word/footer1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Georgia Rural Community Impact Grant FY2026 — Proposal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Community Youth Works, Inc. requests $50,000 from the Georgia Rural Community Impact Grant FY2026 (opportunity revision opp_rev_ga_501_1) to sustain after-school STEM programming in rural Georgia. The organization has been determined ELIGIBLE for this opportunity. The deadline is October 15, 2026.</w:t>
      </w:r>
    </w:p>
    <w:p>
      <w:r>
        <w:br w:type="page"/>
      </w:r>
    </w:p>
    <w:p>
      <w:pPr>
        <w:pStyle w:val="Heading1"/>
      </w:pPr>
      <w:r>
        <w:t>Organization Background</w:t>
      </w:r>
    </w:p>
    <w:p>
      <w:r>
        <w:t xml:space="preserve">Community Youth Works, Inc. is a Georgia nonprofit founded in 2012, headquartered in Atlanta, GA (EIN 58-2345671, 501(c)(3)). The organization has been determined ELIGIBLE for the Georgia Rural Community Impact Grant FY2026 (opportunity revision opp_rev_ga_501_1).</w:t>
      </w:r>
    </w:p>
    <w:p>
      <w:r>
        <w:br w:type="page"/>
      </w:r>
    </w:p>
    <w:p>
      <w:pPr>
        <w:pStyle w:val="Heading1"/>
      </w:pPr>
      <w:r>
        <w:t>Statement Of Need</w:t>
      </w:r>
    </w:p>
    <w:p>
      <w:r>
        <w:t xml:space="preserve">Rural Georgia communities face persistent opportunity gaps. Dade County poverty is 18.2 percent (2023 ACS), the governed community statistic for this application. UNKNOWN: youth served annually and UNKNOWN: current program locations were not provided by the client.</w:t>
      </w:r>
    </w:p>
    <w:p>
      <w:r>
        <w:br w:type="page"/>
      </w:r>
    </w:p>
    <w:p>
      <w:pPr>
        <w:pStyle w:val="Heading1"/>
      </w:pPr>
      <w:r>
        <w:t>Program Narrative</w:t>
      </w:r>
    </w:p>
    <w:p>
      <w:r>
        <w:t xml:space="preserve">The proposed program delivers after-school STEM activities in rural Georgia over a twelve-month grant period. UNKNOWN: specific activity schedule is a future target to be finalized with the client. All activities stay within the $50,000 funding ceiling of the Georgia Rural Community Impact Grant FY2026.</w:t>
      </w:r>
    </w:p>
    <w:p>
      <w:r>
        <w:br w:type="page"/>
      </w:r>
    </w:p>
    <w:p>
      <w:pPr>
        <w:pStyle w:val="Heading1"/>
      </w:pPr>
      <w:r>
        <w:t>Outcomes Evaluation</w:t>
      </w:r>
    </w:p>
    <w:p>
      <w:r>
        <w:t xml:space="preserve">The evaluation plan tracks participation and completion against measurable outcomes. UNKNOWN: baseline outcome targets were not provided; targets will be recorded as FUTURE_TARGET in the claim ledger once set.</w:t>
      </w:r>
    </w:p>
    <w:p>
      <w:r>
        <w:br w:type="page"/>
      </w:r>
    </w:p>
    <w:p>
      <w:pPr>
        <w:pStyle w:val="Heading1"/>
      </w:pPr>
      <w:r>
        <w:t>Sustainability</w:t>
      </w:r>
    </w:p>
    <w:p>
      <w:r>
        <w:t xml:space="preserve">Sustainability beyond the grant period is planned. UNKNOWN: confirmed partner commitments were not provided; no partnership is asserted.</w:t>
      </w:r>
    </w:p>
    <w:p>
      <w:r>
        <w:br w:type="page"/>
      </w:r>
    </w:p>
    <w:p>
      <w:pPr>
        <w:pStyle w:val="Heading1"/>
      </w:pPr>
      <w:r>
        <w:t>Budget Narrative</w:t>
      </w:r>
    </w:p>
    <w:p>
      <w:r>
        <w:t xml:space="preserve">The requested budget is $50,000, within the funding ceiling of the Georgia Rural Community Impact Grant FY2026. Line items reconcile to the ceiling and are itemized in the budget table. Deadline: October 15, 2026.</w:t>
      </w:r>
    </w:p>
    <w:p>
      <w:r>
        <w:br w:type="page"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Title">
    <w:name w:val="Title"/>
    <w:rPr>
      <w:sz w:val="48"/>
    </w:rPr>
  </w:style>
  <w:style w:type="paragraph" w:styleId="Heading1">
    <w:name w:val="heading 1"/>
    <w:rPr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