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Start w:id="1" w:name="_GoBack"/>
      <w:bookmarkEnd w:id="0"/>
      <w:bookmarkEnd w:id="1"/>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6B1FCE36" w:rsidR="006B52CC" w:rsidRDefault="001A25A1" w:rsidP="006B52CC">
      <w:pPr>
        <w:pStyle w:val="Heading1"/>
        <w:jc w:val="center"/>
      </w:pPr>
      <w:r>
        <w:rPr>
          <w:color w:val="FF8300"/>
          <w:sz w:val="48"/>
          <w:szCs w:val="48"/>
        </w:rPr>
        <w:t>Security Orchestration, Automation and Response Platform</w:t>
      </w:r>
      <w:r w:rsidR="00C951A3">
        <w:rPr>
          <w:color w:val="FF8300"/>
          <w:sz w:val="48"/>
          <w:szCs w:val="48"/>
        </w:rPr>
        <w:t xml:space="preserve"> </w:t>
      </w:r>
    </w:p>
    <w:p w14:paraId="55BB517D" w14:textId="73F6780D" w:rsidR="006B52CC" w:rsidRDefault="00B17E46" w:rsidP="006B52CC">
      <w:pPr>
        <w:pStyle w:val="Heading1"/>
        <w:spacing w:before="0"/>
        <w:jc w:val="center"/>
      </w:pPr>
      <w:r>
        <w:rPr>
          <w:color w:val="FF8300"/>
        </w:rPr>
        <w:t>&lt;Function Name&gt;</w:t>
      </w:r>
      <w:r w:rsidR="00C951A3">
        <w:rPr>
          <w:color w:val="FF8300"/>
        </w:rPr>
        <w:t xml:space="preserve"> Function V1.0.0</w:t>
      </w:r>
    </w:p>
    <w:p w14:paraId="0E3218A8" w14:textId="7060CAF6" w:rsidR="006B52CC" w:rsidRDefault="00C951A3" w:rsidP="006B52CC">
      <w:pPr>
        <w:pStyle w:val="Normal1"/>
        <w:jc w:val="center"/>
      </w:pPr>
      <w:r>
        <w:rPr>
          <w:rFonts w:ascii="Times New Roman" w:eastAsia="Times New Roman" w:hAnsi="Times New Roman" w:cs="Times New Roman"/>
        </w:rPr>
        <w:t xml:space="preserve">Release Date: </w:t>
      </w:r>
      <w:r w:rsidR="00BD235A">
        <w:rPr>
          <w:rFonts w:ascii="Times New Roman" w:eastAsia="Times New Roman" w:hAnsi="Times New Roman" w:cs="Times New Roman"/>
        </w:rPr>
        <w:t xml:space="preserve">&lt;month&gt; </w:t>
      </w:r>
      <w:r>
        <w:rPr>
          <w:rFonts w:ascii="Times New Roman" w:eastAsia="Times New Roman" w:hAnsi="Times New Roman" w:cs="Times New Roman"/>
        </w:rPr>
        <w:t>201</w:t>
      </w:r>
      <w:r w:rsidR="00C218AB">
        <w:rPr>
          <w:rFonts w:ascii="Times New Roman" w:eastAsia="Times New Roman" w:hAnsi="Times New Roman" w:cs="Times New Roman"/>
        </w:rPr>
        <w:t>9</w:t>
      </w:r>
    </w:p>
    <w:p w14:paraId="32E89C41" w14:textId="77777777" w:rsidR="006B52CC" w:rsidRDefault="006B52CC" w:rsidP="006B52CC">
      <w:pPr>
        <w:pStyle w:val="Normal1"/>
      </w:pPr>
    </w:p>
    <w:p w14:paraId="5B47DA78" w14:textId="5476A1A4"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 xml:space="preserve">Resilient </w:t>
      </w:r>
      <w:r w:rsidR="001A25A1">
        <w:rPr>
          <w:rFonts w:ascii="Arial" w:eastAsia="Arial" w:hAnsi="Arial" w:cs="Arial"/>
          <w:sz w:val="20"/>
          <w:szCs w:val="20"/>
        </w:rPr>
        <w:t>f</w:t>
      </w:r>
      <w:r>
        <w:rPr>
          <w:rFonts w:ascii="Arial" w:eastAsia="Arial" w:hAnsi="Arial" w:cs="Arial"/>
          <w:sz w:val="20"/>
          <w:szCs w:val="20"/>
        </w:rPr>
        <w:t>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0B599D03" w14:textId="57EDFEAB" w:rsidR="008636BF" w:rsidRDefault="008636BF" w:rsidP="00537786">
      <w:pPr>
        <w:pStyle w:val="Heading10"/>
      </w:pPr>
      <w:r>
        <w:t>About this template</w:t>
      </w:r>
      <w:r w:rsidR="00CD7917">
        <w:t xml:space="preserve"> (delete </w:t>
      </w:r>
      <w:r w:rsidR="003876DB">
        <w:t>when done</w:t>
      </w:r>
      <w:r w:rsidR="00CD7917">
        <w:t>)</w:t>
      </w:r>
    </w:p>
    <w:p w14:paraId="2DA2B5D4" w14:textId="5BC4420C" w:rsidR="008F50F9" w:rsidRPr="008F50F9" w:rsidRDefault="008636BF" w:rsidP="008F50F9">
      <w:pPr>
        <w:pStyle w:val="BodyText"/>
        <w:rPr>
          <w:rFonts w:eastAsia="Arial"/>
          <w:highlight w:val="yellow"/>
        </w:rPr>
      </w:pPr>
      <w:r w:rsidRPr="008F50F9">
        <w:rPr>
          <w:rFonts w:eastAsia="Arial"/>
          <w:highlight w:val="yellow"/>
        </w:rPr>
        <w:t xml:space="preserve">Use this template to create a User Guide for your Resilient </w:t>
      </w:r>
      <w:r w:rsidR="00B45381">
        <w:rPr>
          <w:rFonts w:eastAsia="Arial"/>
          <w:highlight w:val="yellow"/>
        </w:rPr>
        <w:t>function</w:t>
      </w:r>
      <w:r w:rsidRPr="008F50F9">
        <w:rPr>
          <w:rFonts w:eastAsia="Arial"/>
          <w:highlight w:val="yellow"/>
        </w:rPr>
        <w:t xml:space="preserve">. </w:t>
      </w:r>
      <w:r w:rsidR="002A5B99">
        <w:rPr>
          <w:rFonts w:eastAsia="Arial"/>
          <w:highlight w:val="yellow"/>
        </w:rPr>
        <w:t xml:space="preserve">It is designed to be used in conjunction with the Resilient </w:t>
      </w:r>
      <w:r w:rsidR="002A5B99" w:rsidRPr="002A5B99">
        <w:rPr>
          <w:rFonts w:eastAsia="Arial"/>
          <w:i/>
          <w:highlight w:val="yellow"/>
        </w:rPr>
        <w:t>Integration Server Guide</w:t>
      </w:r>
      <w:r w:rsidR="002A5B99">
        <w:rPr>
          <w:rFonts w:eastAsia="Arial"/>
          <w:highlight w:val="yellow"/>
        </w:rPr>
        <w:t xml:space="preserve">. </w:t>
      </w:r>
      <w:r w:rsidR="00B45381">
        <w:rPr>
          <w:rFonts w:eastAsia="Arial"/>
          <w:highlight w:val="yellow"/>
        </w:rPr>
        <w:t>Examples are provided</w:t>
      </w:r>
      <w:r w:rsidR="008F50F9" w:rsidRPr="008F50F9">
        <w:rPr>
          <w:rFonts w:eastAsia="Arial"/>
          <w:highlight w:val="yellow"/>
        </w:rPr>
        <w:t xml:space="preserve">. </w:t>
      </w:r>
      <w:r w:rsidR="003876DB">
        <w:rPr>
          <w:rFonts w:eastAsia="Arial"/>
          <w:highlight w:val="yellow"/>
        </w:rPr>
        <w:t>T</w:t>
      </w:r>
      <w:r w:rsidR="008F50F9" w:rsidRPr="008F50F9">
        <w:rPr>
          <w:rFonts w:eastAsia="Arial"/>
          <w:highlight w:val="yellow"/>
        </w:rPr>
        <w:t>his guide contains the following sections:</w:t>
      </w:r>
    </w:p>
    <w:p w14:paraId="1E278FED" w14:textId="4E6AAD7F" w:rsidR="008F50F9" w:rsidRPr="008F50F9" w:rsidRDefault="008F50F9" w:rsidP="008F50F9">
      <w:pPr>
        <w:pStyle w:val="ListBullet"/>
        <w:rPr>
          <w:rFonts w:eastAsia="Arial"/>
          <w:highlight w:val="yellow"/>
        </w:rPr>
      </w:pPr>
      <w:r w:rsidRPr="008F50F9">
        <w:rPr>
          <w:rFonts w:eastAsia="Arial"/>
          <w:b/>
          <w:highlight w:val="yellow"/>
        </w:rPr>
        <w:t>Overview</w:t>
      </w:r>
      <w:r w:rsidRPr="008F50F9">
        <w:rPr>
          <w:rFonts w:eastAsia="Arial"/>
          <w:highlight w:val="yellow"/>
        </w:rPr>
        <w:t xml:space="preserve">: </w:t>
      </w:r>
      <w:r w:rsidR="00D4091F">
        <w:rPr>
          <w:rFonts w:eastAsia="Arial"/>
          <w:highlight w:val="yellow"/>
        </w:rPr>
        <w:t>D</w:t>
      </w:r>
      <w:r w:rsidRPr="008F50F9">
        <w:rPr>
          <w:rFonts w:eastAsia="Arial"/>
          <w:highlight w:val="yellow"/>
        </w:rPr>
        <w:t>escribe the purpose of the function package.</w:t>
      </w:r>
    </w:p>
    <w:p w14:paraId="1AE0D561" w14:textId="3574C55D" w:rsidR="002A5B99" w:rsidRPr="002A5B99" w:rsidRDefault="001B2D7B" w:rsidP="00C73E36">
      <w:pPr>
        <w:pStyle w:val="ListBullet"/>
        <w:rPr>
          <w:highlight w:val="yellow"/>
        </w:rPr>
      </w:pPr>
      <w:r>
        <w:rPr>
          <w:rFonts w:eastAsia="Arial"/>
          <w:b/>
          <w:highlight w:val="yellow"/>
        </w:rPr>
        <w:t>Installation</w:t>
      </w:r>
      <w:r w:rsidR="008F50F9" w:rsidRPr="00956647">
        <w:rPr>
          <w:rFonts w:eastAsia="Arial"/>
          <w:highlight w:val="yellow"/>
        </w:rPr>
        <w:t xml:space="preserve">: </w:t>
      </w:r>
      <w:r w:rsidR="00956647">
        <w:rPr>
          <w:rFonts w:eastAsia="Arial"/>
          <w:highlight w:val="yellow"/>
        </w:rPr>
        <w:t>List</w:t>
      </w:r>
      <w:r w:rsidR="00956647" w:rsidRPr="00956647">
        <w:rPr>
          <w:rFonts w:eastAsia="Arial"/>
          <w:highlight w:val="yellow"/>
        </w:rPr>
        <w:t xml:space="preserve"> a</w:t>
      </w:r>
      <w:r w:rsidR="008F50F9" w:rsidRPr="00956647">
        <w:rPr>
          <w:rFonts w:eastAsia="Arial"/>
          <w:highlight w:val="yellow"/>
        </w:rPr>
        <w:t xml:space="preserve">ny special </w:t>
      </w:r>
      <w:r w:rsidR="002A5B99">
        <w:rPr>
          <w:rFonts w:eastAsia="Arial"/>
          <w:highlight w:val="yellow"/>
        </w:rPr>
        <w:t xml:space="preserve">installation steps or </w:t>
      </w:r>
      <w:r w:rsidR="008F50F9" w:rsidRPr="00956647">
        <w:rPr>
          <w:rFonts w:eastAsia="Arial"/>
          <w:highlight w:val="yellow"/>
        </w:rPr>
        <w:t>requirements</w:t>
      </w:r>
      <w:r w:rsidR="002A5B99">
        <w:rPr>
          <w:rFonts w:eastAsia="Arial"/>
          <w:highlight w:val="yellow"/>
        </w:rPr>
        <w:t xml:space="preserve"> above and beyond those requirements listed in the </w:t>
      </w:r>
      <w:r w:rsidR="002A5B99" w:rsidRPr="002A5B99">
        <w:rPr>
          <w:rFonts w:eastAsia="Arial"/>
          <w:i/>
          <w:highlight w:val="yellow"/>
        </w:rPr>
        <w:t>Integration Server Guide</w:t>
      </w:r>
      <w:r w:rsidR="002A5B99">
        <w:rPr>
          <w:rFonts w:eastAsia="Arial"/>
          <w:highlight w:val="yellow"/>
        </w:rPr>
        <w:t>.</w:t>
      </w:r>
    </w:p>
    <w:p w14:paraId="4EC6C333" w14:textId="1326A838" w:rsidR="008F50F9" w:rsidRPr="008F50F9" w:rsidRDefault="008F50F9" w:rsidP="008F50F9">
      <w:pPr>
        <w:pStyle w:val="ListBullet"/>
        <w:rPr>
          <w:rFonts w:eastAsia="Arial"/>
          <w:highlight w:val="yellow"/>
        </w:rPr>
      </w:pPr>
      <w:r w:rsidRPr="00956647">
        <w:rPr>
          <w:rFonts w:eastAsia="Arial"/>
          <w:b/>
          <w:highlight w:val="yellow"/>
        </w:rPr>
        <w:t>Package contents</w:t>
      </w:r>
      <w:r>
        <w:rPr>
          <w:rFonts w:eastAsia="Arial"/>
          <w:highlight w:val="yellow"/>
        </w:rPr>
        <w:t>:</w:t>
      </w:r>
      <w:r w:rsidR="00956647">
        <w:rPr>
          <w:rFonts w:eastAsia="Arial"/>
          <w:highlight w:val="yellow"/>
        </w:rPr>
        <w:t xml:space="preserve"> List the functions and each component (workflow, rules, and so on).</w:t>
      </w:r>
    </w:p>
    <w:p w14:paraId="11638788" w14:textId="7EEA654D" w:rsidR="008F50F9" w:rsidRPr="008F50F9" w:rsidRDefault="008F50F9" w:rsidP="008F50F9">
      <w:pPr>
        <w:pStyle w:val="ListBullet"/>
        <w:rPr>
          <w:rFonts w:eastAsia="Arial"/>
          <w:highlight w:val="yellow"/>
        </w:rPr>
      </w:pPr>
      <w:r w:rsidRPr="00956647">
        <w:rPr>
          <w:rFonts w:eastAsia="Arial"/>
          <w:b/>
          <w:highlight w:val="yellow"/>
        </w:rPr>
        <w:t>Custom layout</w:t>
      </w:r>
      <w:r>
        <w:rPr>
          <w:rFonts w:eastAsia="Arial"/>
          <w:highlight w:val="yellow"/>
        </w:rPr>
        <w:t>:</w:t>
      </w:r>
      <w:r w:rsidRPr="008F50F9">
        <w:rPr>
          <w:rFonts w:eastAsia="Arial"/>
          <w:highlight w:val="yellow"/>
        </w:rPr>
        <w:t xml:space="preserve"> </w:t>
      </w:r>
      <w:r w:rsidR="00956647">
        <w:rPr>
          <w:rFonts w:eastAsia="Arial"/>
          <w:highlight w:val="yellow"/>
        </w:rPr>
        <w:t>Only needed if you require the Resilient user to create custom fields or data tables</w:t>
      </w:r>
      <w:r w:rsidR="003876DB">
        <w:rPr>
          <w:rFonts w:eastAsia="Arial"/>
          <w:highlight w:val="yellow"/>
        </w:rPr>
        <w:t>. Provide</w:t>
      </w:r>
      <w:r w:rsidR="00956647">
        <w:rPr>
          <w:rFonts w:eastAsia="Arial"/>
          <w:highlight w:val="yellow"/>
        </w:rPr>
        <w:t xml:space="preserve"> a recommendation on where to place these components</w:t>
      </w:r>
      <w:r w:rsidR="002A5B99">
        <w:rPr>
          <w:rFonts w:eastAsia="Arial"/>
          <w:highlight w:val="yellow"/>
        </w:rPr>
        <w:t xml:space="preserve"> – whether a new or existing incident layout</w:t>
      </w:r>
      <w:r w:rsidR="00956647">
        <w:rPr>
          <w:rFonts w:eastAsia="Arial"/>
          <w:highlight w:val="yellow"/>
        </w:rPr>
        <w:t>.</w:t>
      </w:r>
    </w:p>
    <w:p w14:paraId="77263C20" w14:textId="0D88C2C3" w:rsidR="008F50F9" w:rsidRPr="008F50F9" w:rsidRDefault="008F50F9" w:rsidP="008F50F9">
      <w:pPr>
        <w:pStyle w:val="ListBullet"/>
        <w:rPr>
          <w:rFonts w:eastAsia="Arial"/>
          <w:highlight w:val="yellow"/>
        </w:rPr>
      </w:pPr>
      <w:r w:rsidRPr="00956647">
        <w:rPr>
          <w:rFonts w:eastAsia="Arial"/>
          <w:b/>
          <w:highlight w:val="yellow"/>
        </w:rPr>
        <w:t>Function &lt;name&gt; description</w:t>
      </w:r>
      <w:r>
        <w:rPr>
          <w:rFonts w:eastAsia="Arial"/>
          <w:highlight w:val="yellow"/>
        </w:rPr>
        <w:t xml:space="preserve">: </w:t>
      </w:r>
      <w:r w:rsidR="00956647">
        <w:rPr>
          <w:rFonts w:eastAsia="Arial"/>
          <w:highlight w:val="yellow"/>
        </w:rPr>
        <w:t>Provide a detailed description of how the function works with workflows, rules, fields,</w:t>
      </w:r>
      <w:r w:rsidR="003876DB">
        <w:rPr>
          <w:rFonts w:eastAsia="Arial"/>
          <w:highlight w:val="yellow"/>
        </w:rPr>
        <w:t xml:space="preserve"> data tables and so on. Provide</w:t>
      </w:r>
      <w:r w:rsidR="00956647">
        <w:rPr>
          <w:rFonts w:eastAsia="Arial"/>
          <w:highlight w:val="yellow"/>
        </w:rPr>
        <w:t xml:space="preserve"> screenshots if you feel they will be helpful.</w:t>
      </w:r>
      <w:r w:rsidR="00B45381" w:rsidRPr="00B45381">
        <w:rPr>
          <w:rFonts w:eastAsia="Arial"/>
          <w:highlight w:val="yellow"/>
        </w:rPr>
        <w:t xml:space="preserve"> </w:t>
      </w:r>
      <w:r w:rsidR="00B45381">
        <w:rPr>
          <w:rFonts w:eastAsia="Arial"/>
          <w:highlight w:val="yellow"/>
        </w:rPr>
        <w:t>If you have multiple functions in one package, create a section for each function.</w:t>
      </w:r>
    </w:p>
    <w:p w14:paraId="2C236C5F" w14:textId="32E2BEA1" w:rsidR="00B45381" w:rsidRPr="008F50F9" w:rsidRDefault="00B45381" w:rsidP="00B45381">
      <w:pPr>
        <w:pStyle w:val="BodyText"/>
        <w:rPr>
          <w:rFonts w:eastAsia="Arial"/>
        </w:rPr>
      </w:pPr>
      <w:r>
        <w:rPr>
          <w:rFonts w:eastAsia="Arial"/>
          <w:highlight w:val="yellow"/>
        </w:rPr>
        <w:t xml:space="preserve">When done and before making a PDF, change the title of your Word file </w:t>
      </w:r>
      <w:r w:rsidRPr="00293909">
        <w:rPr>
          <w:rFonts w:eastAsia="Arial"/>
          <w:highlight w:val="yellow"/>
        </w:rPr>
        <w:t xml:space="preserve">in </w:t>
      </w:r>
      <w:r w:rsidRPr="002A5B99">
        <w:rPr>
          <w:rFonts w:eastAsia="Arial"/>
          <w:b/>
          <w:highlight w:val="yellow"/>
        </w:rPr>
        <w:t>File&gt;Info&gt; Advanced Properties</w:t>
      </w:r>
      <w:r w:rsidRPr="00293909">
        <w:rPr>
          <w:rFonts w:eastAsia="Arial"/>
          <w:highlight w:val="yellow"/>
        </w:rPr>
        <w:t>.</w:t>
      </w:r>
      <w:r>
        <w:rPr>
          <w:rFonts w:eastAsia="Arial"/>
        </w:rPr>
        <w:t xml:space="preserve"> </w:t>
      </w:r>
    </w:p>
    <w:p w14:paraId="46AB9A4A" w14:textId="5FA2EB2D" w:rsidR="006A7429" w:rsidRDefault="006A7429" w:rsidP="008F50F9">
      <w:pPr>
        <w:pStyle w:val="BodyText"/>
        <w:rPr>
          <w:rFonts w:eastAsia="Arial"/>
        </w:rPr>
      </w:pPr>
      <w:r w:rsidRPr="006A7429">
        <w:rPr>
          <w:rFonts w:eastAsia="Arial"/>
          <w:highlight w:val="yellow"/>
        </w:rPr>
        <w:t xml:space="preserve">If writing a readme for the online community, </w:t>
      </w:r>
      <w:r w:rsidR="003876DB">
        <w:rPr>
          <w:rFonts w:eastAsia="Arial"/>
          <w:highlight w:val="yellow"/>
        </w:rPr>
        <w:t>make it short. D</w:t>
      </w:r>
      <w:r w:rsidRPr="006A7429">
        <w:rPr>
          <w:rFonts w:eastAsia="Arial"/>
          <w:highlight w:val="yellow"/>
        </w:rPr>
        <w:t xml:space="preserve">escribe the </w:t>
      </w:r>
      <w:r w:rsidR="002A5B99">
        <w:rPr>
          <w:rFonts w:eastAsia="Arial"/>
          <w:highlight w:val="yellow"/>
        </w:rPr>
        <w:t xml:space="preserve">purpose of the </w:t>
      </w:r>
      <w:r w:rsidRPr="006A7429">
        <w:rPr>
          <w:rFonts w:eastAsia="Arial"/>
          <w:highlight w:val="yellow"/>
        </w:rPr>
        <w:t xml:space="preserve">function package and point to </w:t>
      </w:r>
      <w:r w:rsidR="002A5B99">
        <w:rPr>
          <w:rFonts w:eastAsia="Arial"/>
          <w:highlight w:val="yellow"/>
        </w:rPr>
        <w:t>your</w:t>
      </w:r>
      <w:r w:rsidRPr="006A7429">
        <w:rPr>
          <w:rFonts w:eastAsia="Arial"/>
          <w:highlight w:val="yellow"/>
        </w:rPr>
        <w:t xml:space="preserve"> guide for details.</w:t>
      </w:r>
    </w:p>
    <w:p w14:paraId="080AD84F" w14:textId="7ABE01BF" w:rsidR="00B45381" w:rsidRDefault="00B45381" w:rsidP="00B45381">
      <w:pPr>
        <w:pStyle w:val="BodyText"/>
        <w:rPr>
          <w:rFonts w:eastAsia="Arial"/>
        </w:rPr>
      </w:pPr>
      <w:r w:rsidRPr="004E40E9">
        <w:rPr>
          <w:rFonts w:eastAsia="Arial"/>
          <w:highlight w:val="yellow"/>
        </w:rPr>
        <w:t xml:space="preserve">If you have a complex </w:t>
      </w:r>
      <w:r w:rsidR="0023069C">
        <w:rPr>
          <w:rFonts w:eastAsia="Arial"/>
          <w:highlight w:val="yellow"/>
        </w:rPr>
        <w:t xml:space="preserve">function or </w:t>
      </w:r>
      <w:r w:rsidRPr="004E40E9">
        <w:rPr>
          <w:rFonts w:eastAsia="Arial"/>
          <w:highlight w:val="yellow"/>
        </w:rPr>
        <w:t>integration requiring a lot of documentation</w:t>
      </w:r>
      <w:r w:rsidR="003F57A6">
        <w:rPr>
          <w:rFonts w:eastAsia="Arial"/>
          <w:highlight w:val="yellow"/>
        </w:rPr>
        <w:t xml:space="preserve"> and you wish to have a Table of Contents</w:t>
      </w:r>
      <w:r w:rsidRPr="004E40E9">
        <w:rPr>
          <w:rFonts w:eastAsia="Arial"/>
          <w:highlight w:val="yellow"/>
        </w:rPr>
        <w:t xml:space="preserve">, use the </w:t>
      </w:r>
      <w:hyperlink r:id="rId10" w:history="1">
        <w:r w:rsidRPr="004E40E9">
          <w:rPr>
            <w:rStyle w:val="Hyperlink"/>
            <w:rFonts w:eastAsia="Arial"/>
            <w:highlight w:val="yellow"/>
          </w:rPr>
          <w:t>Template for Resilient Integrations User Guide</w:t>
        </w:r>
      </w:hyperlink>
      <w:r w:rsidR="003F57A6">
        <w:rPr>
          <w:rFonts w:eastAsia="Arial"/>
          <w:highlight w:val="yellow"/>
        </w:rPr>
        <w:t>.</w:t>
      </w:r>
    </w:p>
    <w:p w14:paraId="6610BB48" w14:textId="07E93929" w:rsidR="009D639D" w:rsidRPr="00537786" w:rsidRDefault="00C951A3" w:rsidP="00537786">
      <w:pPr>
        <w:pStyle w:val="Heading10"/>
      </w:pPr>
      <w:r w:rsidRPr="00537786">
        <w:lastRenderedPageBreak/>
        <w:t xml:space="preserve">Overview </w:t>
      </w:r>
    </w:p>
    <w:p w14:paraId="4AB85C7C" w14:textId="2C6F52CB" w:rsidR="007C0B2A" w:rsidRPr="00772895" w:rsidRDefault="007C0B2A" w:rsidP="007C0B2A">
      <w:pPr>
        <w:pStyle w:val="BodyText"/>
        <w:rPr>
          <w:rFonts w:eastAsia="Arial"/>
          <w:b/>
          <w:i/>
          <w:color w:val="1F497D" w:themeColor="text2"/>
        </w:rPr>
      </w:pPr>
      <w:r>
        <w:rPr>
          <w:rFonts w:eastAsia="Arial"/>
          <w:b/>
          <w:i/>
          <w:color w:val="1F497D" w:themeColor="text2"/>
        </w:rPr>
        <w:t xml:space="preserve">&lt;Provide a high-level description of the </w:t>
      </w:r>
      <w:r w:rsidR="00D4091F">
        <w:rPr>
          <w:rFonts w:eastAsia="Arial"/>
          <w:b/>
          <w:i/>
          <w:color w:val="1F497D" w:themeColor="text2"/>
        </w:rPr>
        <w:t>function</w:t>
      </w:r>
      <w:r>
        <w:rPr>
          <w:rFonts w:eastAsia="Arial"/>
          <w:b/>
          <w:i/>
          <w:color w:val="1F497D" w:themeColor="text2"/>
        </w:rPr>
        <w:t xml:space="preserve"> itself and </w:t>
      </w:r>
      <w:r w:rsidR="00D4091F">
        <w:rPr>
          <w:rFonts w:eastAsia="Arial"/>
          <w:b/>
          <w:i/>
          <w:color w:val="1F497D" w:themeColor="text2"/>
        </w:rPr>
        <w:t>its</w:t>
      </w:r>
      <w:r>
        <w:rPr>
          <w:rFonts w:eastAsia="Arial"/>
          <w:b/>
          <w:i/>
          <w:color w:val="1F497D" w:themeColor="text2"/>
        </w:rPr>
        <w:t xml:space="preserve"> </w:t>
      </w:r>
      <w:r w:rsidR="00D4091F">
        <w:rPr>
          <w:rFonts w:eastAsia="Arial"/>
          <w:b/>
          <w:i/>
          <w:color w:val="1F497D" w:themeColor="text2"/>
        </w:rPr>
        <w:t>remote software or application. The following text is an example</w:t>
      </w:r>
      <w:r w:rsidR="008E347B">
        <w:rPr>
          <w:rFonts w:eastAsia="Arial"/>
          <w:b/>
          <w:i/>
          <w:color w:val="1F497D" w:themeColor="text2"/>
        </w:rPr>
        <w:t>.</w:t>
      </w:r>
      <w:r>
        <w:rPr>
          <w:rFonts w:eastAsia="Arial"/>
          <w:b/>
          <w:i/>
          <w:color w:val="1F497D" w:themeColor="text2"/>
        </w:rPr>
        <w:t>&gt;</w:t>
      </w:r>
    </w:p>
    <w:p w14:paraId="00637A66" w14:textId="6067CE82" w:rsidR="0023069C" w:rsidRDefault="0023069C" w:rsidP="0023069C">
      <w:pPr>
        <w:pStyle w:val="BodyText"/>
      </w:pPr>
      <w:r>
        <w:t>The McAfee ePO function contains the ability to apply a tag to a system managed in ePO from the Resilient platform.</w:t>
      </w:r>
    </w:p>
    <w:p w14:paraId="447FBFEF" w14:textId="3DF88A27" w:rsidR="008C268A" w:rsidRDefault="008C268A" w:rsidP="008C268A">
      <w:pPr>
        <w:pStyle w:val="BodyText"/>
        <w:keepNext/>
        <w:rPr>
          <w:rFonts w:cs="Arial"/>
          <w:szCs w:val="20"/>
        </w:rPr>
      </w:pPr>
      <w:r>
        <w:rPr>
          <w:rFonts w:cs="Arial"/>
          <w:szCs w:val="20"/>
        </w:rPr>
        <w:t>This guide provides a description of the functions and components within the function package, any additional requirements, and a list of settings that need to be added to the Resilient Circuits app.config file.</w:t>
      </w:r>
    </w:p>
    <w:p w14:paraId="373740F3" w14:textId="0D236E8A" w:rsidR="00F75B84" w:rsidRDefault="00D4091F" w:rsidP="00F75B84">
      <w:pPr>
        <w:pStyle w:val="Heading10"/>
      </w:pPr>
      <w:r>
        <w:t>Installation</w:t>
      </w:r>
    </w:p>
    <w:p w14:paraId="79A6AD8D" w14:textId="77777777" w:rsidR="00D4091F" w:rsidRDefault="00D4091F" w:rsidP="00D4091F">
      <w:pPr>
        <w:pStyle w:val="BodyText"/>
        <w:keepNext/>
        <w:rPr>
          <w:rFonts w:cs="Arial"/>
          <w:szCs w:val="20"/>
        </w:rPr>
      </w:pPr>
      <w:r>
        <w:t xml:space="preserve">You download the function package to a Resilient integration server, and from there you deploy the functions and components to a Resilient platform. These procedures are provided in the </w:t>
      </w:r>
      <w:hyperlink r:id="rId11" w:history="1">
        <w:r>
          <w:rPr>
            <w:rStyle w:val="Hyperlink"/>
          </w:rPr>
          <w:t xml:space="preserve">Resilient </w:t>
        </w:r>
        <w:r w:rsidRPr="004851CD">
          <w:rPr>
            <w:rStyle w:val="Hyperlink"/>
          </w:rPr>
          <w:t>Integration Server Guid</w:t>
        </w:r>
        <w:r>
          <w:rPr>
            <w:rStyle w:val="Hyperlink"/>
          </w:rPr>
          <w:t>e (PDF)</w:t>
        </w:r>
      </w:hyperlink>
      <w:r>
        <w:rPr>
          <w:rFonts w:cs="Arial"/>
          <w:szCs w:val="20"/>
        </w:rPr>
        <w:t xml:space="preserve">. </w:t>
      </w:r>
    </w:p>
    <w:p w14:paraId="5DC377C0" w14:textId="6056F34B" w:rsidR="00F75B84" w:rsidRDefault="00F75B84" w:rsidP="00F75B84">
      <w:pPr>
        <w:pStyle w:val="BodyText"/>
      </w:pPr>
      <w:r>
        <w:t xml:space="preserve">The functions included this package have the following requirements, which are above and beyond those listed in the </w:t>
      </w:r>
      <w:r w:rsidR="00D4091F" w:rsidRPr="00D4091F">
        <w:rPr>
          <w:i/>
        </w:rPr>
        <w:t>Resilient</w:t>
      </w:r>
      <w:r w:rsidR="00D4091F">
        <w:t xml:space="preserve"> </w:t>
      </w:r>
      <w:r w:rsidRPr="008C268A">
        <w:rPr>
          <w:i/>
        </w:rPr>
        <w:t>Integration Server Guide</w:t>
      </w:r>
      <w:r>
        <w:t xml:space="preserve">.  </w:t>
      </w:r>
    </w:p>
    <w:p w14:paraId="2ED5F9E9" w14:textId="77777777" w:rsidR="00F75B84" w:rsidRDefault="00F75B84" w:rsidP="00F75B84">
      <w:pPr>
        <w:pStyle w:val="ListBullet"/>
        <w:keepNext/>
        <w:numPr>
          <w:ilvl w:val="0"/>
          <w:numId w:val="26"/>
        </w:numPr>
      </w:pPr>
      <w:r w:rsidRPr="00E754BD">
        <w:t>Resilient</w:t>
      </w:r>
      <w:r>
        <w:t xml:space="preserve"> platform is version </w:t>
      </w:r>
      <w:r w:rsidRPr="00606D65">
        <w:rPr>
          <w:b/>
          <w:i/>
          <w:color w:val="1F497D" w:themeColor="text2"/>
        </w:rPr>
        <w:t>xx</w:t>
      </w:r>
      <w:r>
        <w:t xml:space="preserve"> or later. </w:t>
      </w:r>
    </w:p>
    <w:p w14:paraId="054808AB" w14:textId="4821275D" w:rsidR="00F75B84" w:rsidRDefault="00B836FB" w:rsidP="00F75B84">
      <w:pPr>
        <w:pStyle w:val="ListBullet"/>
        <w:keepNext/>
        <w:numPr>
          <w:ilvl w:val="0"/>
          <w:numId w:val="26"/>
        </w:numPr>
      </w:pPr>
      <w:r>
        <w:t>&lt;</w:t>
      </w:r>
      <w:r w:rsidRPr="00B45381">
        <w:rPr>
          <w:i/>
        </w:rPr>
        <w:t xml:space="preserve">is a new </w:t>
      </w:r>
      <w:r w:rsidR="00C70104" w:rsidRPr="00B45381">
        <w:rPr>
          <w:i/>
        </w:rPr>
        <w:t>incident tab needed in the Layouts section of the Resilient platform to contain the custom fields and data tables</w:t>
      </w:r>
      <w:r w:rsidRPr="00B45381">
        <w:rPr>
          <w:i/>
        </w:rPr>
        <w:t>?</w:t>
      </w:r>
      <w:r>
        <w:t>&gt;</w:t>
      </w:r>
    </w:p>
    <w:p w14:paraId="3AF008A1" w14:textId="6AA62F4E" w:rsidR="00B836FB" w:rsidRDefault="00B836FB" w:rsidP="00F75B84">
      <w:pPr>
        <w:pStyle w:val="ListBullet"/>
        <w:keepNext/>
        <w:numPr>
          <w:ilvl w:val="0"/>
          <w:numId w:val="26"/>
        </w:numPr>
      </w:pPr>
      <w:r>
        <w:t>&lt;</w:t>
      </w:r>
      <w:r w:rsidRPr="00B836FB">
        <w:rPr>
          <w:i/>
        </w:rPr>
        <w:t>is there a special port that needs to be op</w:t>
      </w:r>
      <w:r>
        <w:rPr>
          <w:i/>
        </w:rPr>
        <w:t>e</w:t>
      </w:r>
      <w:r w:rsidRPr="00B836FB">
        <w:rPr>
          <w:i/>
        </w:rPr>
        <w:t>ned?</w:t>
      </w:r>
      <w:r>
        <w:t>&gt;</w:t>
      </w:r>
    </w:p>
    <w:p w14:paraId="16C08EBC" w14:textId="02C05F70" w:rsidR="00F75B84" w:rsidRPr="00726527" w:rsidRDefault="00F75B84" w:rsidP="00F75B84">
      <w:pPr>
        <w:pStyle w:val="BodyText"/>
      </w:pPr>
      <w:bookmarkStart w:id="2" w:name="_Toc509305886"/>
      <w:r>
        <w:t xml:space="preserve">After installing the package, Resilient Circuits creates a new section, </w:t>
      </w:r>
      <w:r w:rsidR="003876DB">
        <w:t>&lt;</w:t>
      </w:r>
      <w:r w:rsidR="003876DB" w:rsidRPr="003876DB">
        <w:rPr>
          <w:i/>
        </w:rPr>
        <w:t>name of section</w:t>
      </w:r>
      <w:r w:rsidR="003876DB">
        <w:t>&gt;</w:t>
      </w:r>
      <w:r>
        <w:rPr>
          <w:rFonts w:cs="Arial"/>
          <w:color w:val="000000"/>
        </w:rPr>
        <w:t xml:space="preserve">, </w:t>
      </w:r>
      <w:r>
        <w:t xml:space="preserve">in the app.config file. You need to </w:t>
      </w:r>
      <w:r w:rsidR="00093CC0">
        <w:t>edit</w:t>
      </w:r>
      <w:r>
        <w:t xml:space="preserve"> the following settings </w:t>
      </w:r>
      <w:r w:rsidR="00093CC0">
        <w:t>in</w:t>
      </w:r>
      <w:r w:rsidR="00B836FB">
        <w:t xml:space="preserve"> that section.</w:t>
      </w:r>
    </w:p>
    <w:bookmarkEnd w:id="2"/>
    <w:p w14:paraId="514C4E98" w14:textId="74BCD0FE" w:rsidR="00B45381" w:rsidRPr="002A5B99" w:rsidRDefault="002A5B99" w:rsidP="002A5B99">
      <w:pPr>
        <w:pStyle w:val="BodyText"/>
        <w:rPr>
          <w:rFonts w:eastAsia="Arial"/>
          <w:b/>
          <w:i/>
          <w:color w:val="1F497D" w:themeColor="text2"/>
        </w:rPr>
      </w:pPr>
      <w:r>
        <w:rPr>
          <w:rFonts w:eastAsia="Arial"/>
          <w:b/>
          <w:i/>
          <w:color w:val="1F497D" w:themeColor="text2"/>
        </w:rPr>
        <w:t>&lt;</w:t>
      </w:r>
      <w:r w:rsidR="008E347B" w:rsidRPr="002A5B99">
        <w:rPr>
          <w:rFonts w:eastAsia="Arial"/>
          <w:b/>
          <w:i/>
          <w:color w:val="1F497D" w:themeColor="text2"/>
        </w:rPr>
        <w:t>Replace the following</w:t>
      </w:r>
      <w:r w:rsidR="00D96B96">
        <w:rPr>
          <w:rFonts w:eastAsia="Arial"/>
          <w:b/>
          <w:i/>
          <w:color w:val="1F497D" w:themeColor="text2"/>
        </w:rPr>
        <w:t xml:space="preserve"> example</w:t>
      </w:r>
      <w:r w:rsidR="008E347B" w:rsidRPr="002A5B99">
        <w:rPr>
          <w:rFonts w:eastAsia="Arial"/>
          <w:b/>
          <w:i/>
          <w:color w:val="1F497D" w:themeColor="text2"/>
        </w:rPr>
        <w:t xml:space="preserve"> with the section created for your </w:t>
      </w:r>
      <w:r w:rsidR="0023069C" w:rsidRPr="002A5B99">
        <w:rPr>
          <w:rFonts w:eastAsia="Arial"/>
          <w:b/>
          <w:i/>
          <w:color w:val="1F497D" w:themeColor="text2"/>
        </w:rPr>
        <w:t>function</w:t>
      </w:r>
      <w:r>
        <w:rPr>
          <w:rFonts w:eastAsia="Arial"/>
          <w:b/>
          <w:i/>
          <w:color w:val="1F497D" w:themeColor="text2"/>
        </w:rPr>
        <w:t>&gt;</w:t>
      </w:r>
    </w:p>
    <w:p w14:paraId="097A68EF" w14:textId="776FFB67" w:rsidR="003876DB" w:rsidRDefault="003876DB" w:rsidP="00F75B84">
      <w:pPr>
        <w:pStyle w:val="Code0"/>
        <w:ind w:left="0"/>
        <w:contextualSpacing/>
        <w:rPr>
          <w:rFonts w:cs="Arial"/>
          <w:color w:val="000000"/>
        </w:rPr>
      </w:pPr>
      <w:r w:rsidRPr="00777F45">
        <w:rPr>
          <w:rFonts w:cs="Arial"/>
          <w:color w:val="000000"/>
        </w:rPr>
        <w:t xml:space="preserve">[fn_microsoft_security_graph] </w:t>
      </w:r>
    </w:p>
    <w:p w14:paraId="6EF892E0" w14:textId="26A770DC" w:rsidR="003876DB" w:rsidRDefault="003876DB" w:rsidP="00F75B84">
      <w:pPr>
        <w:pStyle w:val="Code0"/>
        <w:ind w:left="0"/>
        <w:contextualSpacing/>
      </w:pPr>
      <w:r w:rsidRPr="003665AD">
        <w:t># Graph URL with version number</w:t>
      </w:r>
      <w:r w:rsidRPr="003665AD">
        <w:br/>
        <w:t>microsoft_graph_url=https://graph.microsoft.com/v1.0/</w:t>
      </w:r>
      <w:r w:rsidRPr="003665AD">
        <w:br/>
        <w:t>tenant_id=&lt;Tenant directory id&gt;</w:t>
      </w:r>
      <w:r w:rsidRPr="003665AD">
        <w:br/>
        <w:t>client_id=&lt;App client id&gt;</w:t>
      </w:r>
      <w:r w:rsidRPr="003665AD">
        <w:br/>
        <w:t>cli</w:t>
      </w:r>
      <w:r w:rsidR="002A5B99">
        <w:t>ent_secret=&lt;App client secret&gt;</w:t>
      </w:r>
      <w:r w:rsidR="002A5B99">
        <w:br/>
      </w:r>
    </w:p>
    <w:p w14:paraId="23BC46A4" w14:textId="763A22AB" w:rsidR="002A5B99" w:rsidRPr="002A5B99" w:rsidRDefault="00D96B96" w:rsidP="002A5B99">
      <w:pPr>
        <w:pStyle w:val="BodyText"/>
        <w:rPr>
          <w:rFonts w:eastAsia="Arial"/>
          <w:b/>
          <w:i/>
          <w:color w:val="1F497D" w:themeColor="text2"/>
        </w:rPr>
      </w:pPr>
      <w:r>
        <w:rPr>
          <w:rFonts w:eastAsia="Arial"/>
          <w:b/>
          <w:i/>
          <w:color w:val="1F497D" w:themeColor="text2"/>
        </w:rPr>
        <w:t>&lt;P</w:t>
      </w:r>
      <w:r w:rsidR="002A5B99">
        <w:rPr>
          <w:rFonts w:eastAsia="Arial"/>
          <w:b/>
          <w:i/>
          <w:color w:val="1F497D" w:themeColor="text2"/>
        </w:rPr>
        <w:t>rovide details of each setting as necessary&gt;</w:t>
      </w:r>
    </w:p>
    <w:p w14:paraId="00A16A03" w14:textId="77777777" w:rsidR="002A5B99" w:rsidRDefault="002A5B99" w:rsidP="002A5B99">
      <w:pPr>
        <w:pStyle w:val="BodyText"/>
      </w:pPr>
    </w:p>
    <w:p w14:paraId="2443A549" w14:textId="5228B823" w:rsidR="00611813" w:rsidRDefault="00611813" w:rsidP="00611813">
      <w:pPr>
        <w:pStyle w:val="Heading10"/>
      </w:pPr>
      <w:r>
        <w:lastRenderedPageBreak/>
        <w:t>Package contents</w:t>
      </w:r>
    </w:p>
    <w:p w14:paraId="07B3DD9E" w14:textId="5167B748" w:rsidR="00611813" w:rsidRDefault="00611813" w:rsidP="003876DB">
      <w:pPr>
        <w:pStyle w:val="BodyText"/>
        <w:keepNext/>
        <w:rPr>
          <w:rFonts w:eastAsia="Arial"/>
        </w:rPr>
      </w:pPr>
      <w:r>
        <w:rPr>
          <w:rFonts w:eastAsia="Arial"/>
        </w:rPr>
        <w:t>The following table lists the functions included in the package, along with associated workflows and rules.</w:t>
      </w:r>
    </w:p>
    <w:tbl>
      <w:tblPr>
        <w:tblStyle w:val="TableGrid"/>
        <w:tblW w:w="0" w:type="auto"/>
        <w:tblLook w:val="04A0" w:firstRow="1" w:lastRow="0" w:firstColumn="1" w:lastColumn="0" w:noHBand="0" w:noVBand="1"/>
      </w:tblPr>
      <w:tblGrid>
        <w:gridCol w:w="2425"/>
        <w:gridCol w:w="3328"/>
        <w:gridCol w:w="2877"/>
      </w:tblGrid>
      <w:tr w:rsidR="00611813" w14:paraId="003F4DD4" w14:textId="77777777" w:rsidTr="00783E92">
        <w:tc>
          <w:tcPr>
            <w:tcW w:w="2425" w:type="dxa"/>
            <w:shd w:val="clear" w:color="auto" w:fill="C2D69B" w:themeFill="accent3" w:themeFillTint="99"/>
          </w:tcPr>
          <w:p w14:paraId="1A49B604" w14:textId="77777777" w:rsidR="00611813" w:rsidRPr="00896C1B" w:rsidRDefault="00611813" w:rsidP="003876DB">
            <w:pPr>
              <w:pStyle w:val="BodyText"/>
              <w:keepNext/>
              <w:jc w:val="center"/>
              <w:rPr>
                <w:b/>
              </w:rPr>
            </w:pPr>
            <w:r w:rsidRPr="00896C1B">
              <w:rPr>
                <w:b/>
              </w:rPr>
              <w:t>Function</w:t>
            </w:r>
          </w:p>
        </w:tc>
        <w:tc>
          <w:tcPr>
            <w:tcW w:w="3328" w:type="dxa"/>
            <w:shd w:val="clear" w:color="auto" w:fill="C2D69B" w:themeFill="accent3" w:themeFillTint="99"/>
          </w:tcPr>
          <w:p w14:paraId="18D87319" w14:textId="77777777" w:rsidR="00611813" w:rsidRPr="00896C1B" w:rsidRDefault="00611813" w:rsidP="003876DB">
            <w:pPr>
              <w:pStyle w:val="BodyText"/>
              <w:keepNext/>
              <w:jc w:val="center"/>
              <w:rPr>
                <w:b/>
              </w:rPr>
            </w:pPr>
            <w:r w:rsidRPr="00896C1B">
              <w:rPr>
                <w:b/>
              </w:rPr>
              <w:t>Workflow</w:t>
            </w:r>
          </w:p>
        </w:tc>
        <w:tc>
          <w:tcPr>
            <w:tcW w:w="2877" w:type="dxa"/>
            <w:shd w:val="clear" w:color="auto" w:fill="C2D69B" w:themeFill="accent3" w:themeFillTint="99"/>
          </w:tcPr>
          <w:p w14:paraId="42C45009" w14:textId="77777777" w:rsidR="00611813" w:rsidRPr="00896C1B" w:rsidRDefault="00611813" w:rsidP="003876DB">
            <w:pPr>
              <w:pStyle w:val="BodyText"/>
              <w:keepNext/>
              <w:jc w:val="center"/>
              <w:rPr>
                <w:b/>
              </w:rPr>
            </w:pPr>
            <w:r w:rsidRPr="00896C1B">
              <w:rPr>
                <w:b/>
              </w:rPr>
              <w:t>Rule</w:t>
            </w:r>
          </w:p>
        </w:tc>
      </w:tr>
      <w:tr w:rsidR="00611813" w14:paraId="0F79D98C" w14:textId="77777777" w:rsidTr="00783E92">
        <w:tc>
          <w:tcPr>
            <w:tcW w:w="2425" w:type="dxa"/>
          </w:tcPr>
          <w:p w14:paraId="1799685A" w14:textId="605C192E" w:rsidR="00611813" w:rsidRDefault="00611813" w:rsidP="003876DB">
            <w:pPr>
              <w:pStyle w:val="BodyText"/>
              <w:keepNext/>
            </w:pPr>
            <w:r>
              <w:t>Function name</w:t>
            </w:r>
          </w:p>
        </w:tc>
        <w:tc>
          <w:tcPr>
            <w:tcW w:w="3328" w:type="dxa"/>
          </w:tcPr>
          <w:p w14:paraId="73451039" w14:textId="3438444F" w:rsidR="00611813" w:rsidRDefault="00611813" w:rsidP="003876DB">
            <w:pPr>
              <w:pStyle w:val="BodyText"/>
              <w:keepNext/>
            </w:pPr>
            <w:r>
              <w:t xml:space="preserve">Workflow name </w:t>
            </w:r>
          </w:p>
        </w:tc>
        <w:tc>
          <w:tcPr>
            <w:tcW w:w="2877" w:type="dxa"/>
          </w:tcPr>
          <w:p w14:paraId="3B8C4683" w14:textId="498B28C7" w:rsidR="00611813" w:rsidRDefault="00611813" w:rsidP="003876DB">
            <w:pPr>
              <w:pStyle w:val="BodyText"/>
              <w:keepNext/>
            </w:pPr>
            <w:r>
              <w:t>Rule name</w:t>
            </w:r>
          </w:p>
        </w:tc>
      </w:tr>
      <w:tr w:rsidR="00611813" w14:paraId="0754C947" w14:textId="77777777" w:rsidTr="00783E92">
        <w:tc>
          <w:tcPr>
            <w:tcW w:w="2425" w:type="dxa"/>
            <w:vMerge w:val="restart"/>
          </w:tcPr>
          <w:p w14:paraId="509B8E0D" w14:textId="2D7A5791" w:rsidR="00611813" w:rsidRDefault="00611813" w:rsidP="003876DB">
            <w:pPr>
              <w:pStyle w:val="BodyText"/>
              <w:keepNext/>
            </w:pPr>
            <w:r>
              <w:t>Function name</w:t>
            </w:r>
          </w:p>
        </w:tc>
        <w:tc>
          <w:tcPr>
            <w:tcW w:w="3328" w:type="dxa"/>
          </w:tcPr>
          <w:p w14:paraId="7AA5596B" w14:textId="4A2BE474" w:rsidR="00611813" w:rsidRDefault="00611813" w:rsidP="003876DB">
            <w:pPr>
              <w:pStyle w:val="BodyText"/>
              <w:keepNext/>
            </w:pPr>
            <w:r>
              <w:t>Workflow name</w:t>
            </w:r>
          </w:p>
        </w:tc>
        <w:tc>
          <w:tcPr>
            <w:tcW w:w="2877" w:type="dxa"/>
          </w:tcPr>
          <w:p w14:paraId="34644FC3" w14:textId="31653F0C" w:rsidR="00611813" w:rsidRDefault="00611813" w:rsidP="003876DB">
            <w:pPr>
              <w:pStyle w:val="BodyText"/>
              <w:keepNext/>
            </w:pPr>
            <w:r>
              <w:t>Rule name</w:t>
            </w:r>
          </w:p>
        </w:tc>
      </w:tr>
      <w:tr w:rsidR="00611813" w14:paraId="52FB1577" w14:textId="77777777" w:rsidTr="00783E92">
        <w:tc>
          <w:tcPr>
            <w:tcW w:w="2425" w:type="dxa"/>
            <w:vMerge/>
          </w:tcPr>
          <w:p w14:paraId="5ABA6FAD" w14:textId="77777777" w:rsidR="00611813" w:rsidRDefault="00611813" w:rsidP="003876DB">
            <w:pPr>
              <w:pStyle w:val="BodyText"/>
              <w:keepNext/>
            </w:pPr>
          </w:p>
        </w:tc>
        <w:tc>
          <w:tcPr>
            <w:tcW w:w="3328" w:type="dxa"/>
          </w:tcPr>
          <w:p w14:paraId="3D5B133E" w14:textId="318EC3CC" w:rsidR="00611813" w:rsidRDefault="00611813" w:rsidP="003876DB">
            <w:pPr>
              <w:pStyle w:val="BodyText"/>
              <w:keepNext/>
            </w:pPr>
            <w:r>
              <w:t>Workflow name</w:t>
            </w:r>
          </w:p>
        </w:tc>
        <w:tc>
          <w:tcPr>
            <w:tcW w:w="2877" w:type="dxa"/>
          </w:tcPr>
          <w:p w14:paraId="69FE11BB" w14:textId="25BE732F" w:rsidR="00611813" w:rsidRDefault="00611813" w:rsidP="003876DB">
            <w:pPr>
              <w:pStyle w:val="BodyText"/>
              <w:keepNext/>
            </w:pPr>
            <w:r>
              <w:t>Rule name</w:t>
            </w:r>
          </w:p>
        </w:tc>
      </w:tr>
    </w:tbl>
    <w:p w14:paraId="0AAAA473" w14:textId="043C48BC" w:rsidR="00D96B96" w:rsidRDefault="0023069C" w:rsidP="0023069C">
      <w:pPr>
        <w:pStyle w:val="BodyText"/>
        <w:keepNext/>
        <w:rPr>
          <w:rFonts w:eastAsia="Arial"/>
          <w:b/>
          <w:i/>
          <w:color w:val="1F497D" w:themeColor="text2"/>
        </w:rPr>
      </w:pPr>
      <w:r>
        <w:rPr>
          <w:rFonts w:eastAsia="Arial"/>
          <w:b/>
          <w:i/>
          <w:color w:val="1F497D" w:themeColor="text2"/>
        </w:rPr>
        <w:t>&lt;Provide a list of custom incident fields and data tables.</w:t>
      </w:r>
      <w:r w:rsidR="00D96B96">
        <w:rPr>
          <w:rFonts w:eastAsia="Arial"/>
          <w:b/>
          <w:i/>
          <w:color w:val="1F497D" w:themeColor="text2"/>
        </w:rPr>
        <w:t>&gt;</w:t>
      </w:r>
      <w:r>
        <w:rPr>
          <w:rFonts w:eastAsia="Arial"/>
          <w:b/>
          <w:i/>
          <w:color w:val="1F497D" w:themeColor="text2"/>
        </w:rPr>
        <w:t xml:space="preserve"> </w:t>
      </w:r>
    </w:p>
    <w:p w14:paraId="29C45F45" w14:textId="1543F7FF" w:rsidR="0023069C" w:rsidRPr="00772895" w:rsidRDefault="00D96B96" w:rsidP="0023069C">
      <w:pPr>
        <w:pStyle w:val="BodyText"/>
        <w:keepNext/>
        <w:rPr>
          <w:rFonts w:eastAsia="Arial"/>
          <w:b/>
          <w:i/>
          <w:color w:val="1F497D" w:themeColor="text2"/>
        </w:rPr>
      </w:pPr>
      <w:r>
        <w:rPr>
          <w:rFonts w:eastAsia="Arial"/>
          <w:b/>
          <w:i/>
          <w:color w:val="1F497D" w:themeColor="text2"/>
        </w:rPr>
        <w:t xml:space="preserve">&lt;NOTE: </w:t>
      </w:r>
      <w:r w:rsidR="005B6250">
        <w:rPr>
          <w:rFonts w:eastAsia="Arial"/>
          <w:b/>
          <w:i/>
          <w:color w:val="1F497D" w:themeColor="text2"/>
        </w:rPr>
        <w:t xml:space="preserve">Describe the function’s </w:t>
      </w:r>
      <w:r w:rsidR="0023069C">
        <w:rPr>
          <w:rFonts w:eastAsia="Arial"/>
          <w:b/>
          <w:i/>
          <w:color w:val="1F497D" w:themeColor="text2"/>
        </w:rPr>
        <w:t xml:space="preserve">input fields </w:t>
      </w:r>
      <w:r w:rsidR="005B6250">
        <w:rPr>
          <w:rFonts w:eastAsia="Arial"/>
          <w:b/>
          <w:i/>
          <w:color w:val="1F497D" w:themeColor="text2"/>
        </w:rPr>
        <w:t xml:space="preserve">in the </w:t>
      </w:r>
      <w:r w:rsidR="005B6250" w:rsidRPr="005B6250">
        <w:rPr>
          <w:rFonts w:eastAsia="Arial"/>
          <w:b/>
          <w:i/>
        </w:rPr>
        <w:t>Function &lt;name&gt; description</w:t>
      </w:r>
      <w:r w:rsidR="005B6250">
        <w:rPr>
          <w:rFonts w:eastAsia="Arial"/>
          <w:b/>
          <w:i/>
          <w:color w:val="1F497D" w:themeColor="text2"/>
        </w:rPr>
        <w:t xml:space="preserve"> section</w:t>
      </w:r>
      <w:r w:rsidR="00216076">
        <w:rPr>
          <w:rFonts w:eastAsia="Arial"/>
          <w:b/>
          <w:i/>
          <w:color w:val="1F497D" w:themeColor="text2"/>
        </w:rPr>
        <w:t>.</w:t>
      </w:r>
      <w:r w:rsidR="0023069C">
        <w:rPr>
          <w:rFonts w:eastAsia="Arial"/>
          <w:b/>
          <w:i/>
          <w:color w:val="1F497D" w:themeColor="text2"/>
        </w:rPr>
        <w:t>&gt;</w:t>
      </w:r>
      <w:r w:rsidR="005B6250" w:rsidRPr="005B6250">
        <w:rPr>
          <w:rFonts w:eastAsia="Arial"/>
          <w:b/>
        </w:rPr>
        <w:t xml:space="preserve"> </w:t>
      </w:r>
    </w:p>
    <w:p w14:paraId="2F9AABCC" w14:textId="7F45FA80" w:rsidR="00362D6E" w:rsidRDefault="00362D6E" w:rsidP="003876DB">
      <w:pPr>
        <w:pStyle w:val="BodyText"/>
        <w:keepNext/>
      </w:pPr>
      <w:r>
        <w:t xml:space="preserve">The package also requires that the following </w:t>
      </w:r>
      <w:r w:rsidR="0023069C">
        <w:t xml:space="preserve">custom </w:t>
      </w:r>
      <w:r>
        <w:t xml:space="preserve">fields and data tables are created in the Resilient platform: </w:t>
      </w:r>
    </w:p>
    <w:p w14:paraId="411577DF" w14:textId="4F57352F" w:rsidR="00362D6E" w:rsidRPr="00362D6E" w:rsidRDefault="00362D6E" w:rsidP="003876DB">
      <w:pPr>
        <w:pStyle w:val="ListBullet"/>
        <w:keepNext/>
        <w:contextualSpacing/>
        <w:rPr>
          <w:rFonts w:eastAsia="Arial"/>
        </w:rPr>
      </w:pPr>
      <w:r w:rsidRPr="00362D6E">
        <w:rPr>
          <w:rFonts w:eastAsia="Arial"/>
        </w:rPr>
        <w:t xml:space="preserve">Field name </w:t>
      </w:r>
    </w:p>
    <w:p w14:paraId="35A63723" w14:textId="77777777" w:rsidR="00362D6E" w:rsidRPr="00362D6E" w:rsidRDefault="00362D6E" w:rsidP="003876DB">
      <w:pPr>
        <w:pStyle w:val="ListBullet"/>
        <w:keepNext/>
        <w:contextualSpacing/>
        <w:rPr>
          <w:rFonts w:eastAsia="Arial"/>
        </w:rPr>
      </w:pPr>
      <w:r w:rsidRPr="00362D6E">
        <w:rPr>
          <w:rFonts w:eastAsia="Arial"/>
        </w:rPr>
        <w:t>Field name</w:t>
      </w:r>
    </w:p>
    <w:p w14:paraId="11771EBA" w14:textId="1872E0E6" w:rsidR="00362D6E" w:rsidRPr="00362D6E" w:rsidRDefault="00362D6E" w:rsidP="00CD7917">
      <w:pPr>
        <w:pStyle w:val="ListBullet"/>
        <w:contextualSpacing/>
        <w:rPr>
          <w:rFonts w:eastAsia="Arial"/>
        </w:rPr>
      </w:pPr>
      <w:r w:rsidRPr="00362D6E">
        <w:rPr>
          <w:rFonts w:eastAsia="Arial"/>
        </w:rPr>
        <w:t>Data table name</w:t>
      </w:r>
    </w:p>
    <w:p w14:paraId="7B16100E" w14:textId="0A2A9C1E" w:rsidR="00362D6E" w:rsidRPr="00362D6E" w:rsidRDefault="00362D6E" w:rsidP="00CD7917">
      <w:pPr>
        <w:pStyle w:val="ListBullet"/>
        <w:contextualSpacing/>
        <w:rPr>
          <w:rFonts w:eastAsia="Arial"/>
        </w:rPr>
      </w:pPr>
      <w:r w:rsidRPr="00362D6E">
        <w:rPr>
          <w:rFonts w:eastAsia="Arial"/>
        </w:rPr>
        <w:t>Data table name</w:t>
      </w:r>
    </w:p>
    <w:p w14:paraId="5A162D9D" w14:textId="77777777" w:rsidR="00C70104" w:rsidRDefault="00C70104" w:rsidP="00C70104">
      <w:pPr>
        <w:pStyle w:val="Heading10"/>
      </w:pPr>
      <w:bookmarkStart w:id="3" w:name="_Toc510253272"/>
      <w:r>
        <w:lastRenderedPageBreak/>
        <w:t>Custom layout</w:t>
      </w:r>
    </w:p>
    <w:p w14:paraId="1E0C849F" w14:textId="4440E542" w:rsidR="00B45381" w:rsidRPr="0023069C" w:rsidRDefault="00B45381" w:rsidP="00216076">
      <w:pPr>
        <w:pStyle w:val="BodyText"/>
        <w:keepNext/>
        <w:rPr>
          <w:rFonts w:eastAsia="Arial"/>
          <w:b/>
          <w:i/>
          <w:color w:val="1F497D" w:themeColor="text2"/>
        </w:rPr>
      </w:pPr>
      <w:r w:rsidRPr="0023069C">
        <w:rPr>
          <w:rFonts w:eastAsia="Arial"/>
          <w:b/>
          <w:i/>
          <w:color w:val="1F497D" w:themeColor="text2"/>
        </w:rPr>
        <w:t>&lt;</w:t>
      </w:r>
      <w:r w:rsidR="0023069C">
        <w:rPr>
          <w:rFonts w:eastAsia="Arial"/>
          <w:b/>
          <w:i/>
          <w:color w:val="1F497D" w:themeColor="text2"/>
        </w:rPr>
        <w:t xml:space="preserve">Use this section to provide guidance on where the user should add any custom fields and data tables. </w:t>
      </w:r>
      <w:r w:rsidR="00216076">
        <w:rPr>
          <w:rFonts w:eastAsia="Arial"/>
          <w:b/>
          <w:i/>
          <w:color w:val="1F497D" w:themeColor="text2"/>
        </w:rPr>
        <w:t xml:space="preserve">You may wish to recommend a new incident tab, as shown in the following example. </w:t>
      </w:r>
      <w:r w:rsidR="0023069C">
        <w:rPr>
          <w:rFonts w:eastAsia="Arial"/>
          <w:b/>
          <w:i/>
          <w:color w:val="1F497D" w:themeColor="text2"/>
        </w:rPr>
        <w:t xml:space="preserve">Delete this </w:t>
      </w:r>
      <w:r w:rsidRPr="0023069C">
        <w:rPr>
          <w:rFonts w:eastAsia="Arial"/>
          <w:b/>
          <w:i/>
          <w:color w:val="1F497D" w:themeColor="text2"/>
        </w:rPr>
        <w:t>section if not applicable</w:t>
      </w:r>
      <w:r w:rsidR="0023069C">
        <w:rPr>
          <w:rFonts w:eastAsia="Arial"/>
          <w:b/>
          <w:i/>
          <w:color w:val="1F497D" w:themeColor="text2"/>
        </w:rPr>
        <w:t>.</w:t>
      </w:r>
      <w:r w:rsidRPr="0023069C">
        <w:rPr>
          <w:rFonts w:eastAsia="Arial"/>
          <w:b/>
          <w:i/>
          <w:color w:val="1F497D" w:themeColor="text2"/>
        </w:rPr>
        <w:t>&gt;</w:t>
      </w:r>
    </w:p>
    <w:p w14:paraId="1FE0C45E" w14:textId="6148984F" w:rsidR="00C70104" w:rsidRDefault="00C70104" w:rsidP="00216076">
      <w:pPr>
        <w:pStyle w:val="BodyText"/>
        <w:keepNext/>
      </w:pPr>
      <w:r>
        <w:t>To use the functions, the Resilient playbook designer needs to create a new Incident tab containing the custom fields and data tables. The examples in this guide assume that the incident tab is named MITRE. For example:</w:t>
      </w:r>
    </w:p>
    <w:p w14:paraId="0CDA05F2" w14:textId="77777777" w:rsidR="00C70104" w:rsidRDefault="00C70104" w:rsidP="00C70104">
      <w:pPr>
        <w:pStyle w:val="BodyText"/>
      </w:pPr>
      <w:r w:rsidRPr="00934D8D">
        <w:rPr>
          <w:noProof/>
        </w:rPr>
        <w:drawing>
          <wp:inline distT="0" distB="0" distL="0" distR="0" wp14:anchorId="2322C672" wp14:editId="6D26A0D7">
            <wp:extent cx="5469147" cy="3198565"/>
            <wp:effectExtent l="114300" t="114300" r="151130" b="154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TRE incident tab.png"/>
                    <pic:cNvPicPr/>
                  </pic:nvPicPr>
                  <pic:blipFill>
                    <a:blip r:embed="rId12">
                      <a:extLst>
                        <a:ext uri="{28A0092B-C50C-407E-A947-70E740481C1C}">
                          <a14:useLocalDpi xmlns:a14="http://schemas.microsoft.com/office/drawing/2010/main" val="0"/>
                        </a:ext>
                      </a:extLst>
                    </a:blip>
                    <a:stretch>
                      <a:fillRect/>
                    </a:stretch>
                  </pic:blipFill>
                  <pic:spPr>
                    <a:xfrm>
                      <a:off x="0" y="0"/>
                      <a:ext cx="5471600" cy="32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517D30" w14:textId="1AD87CEC" w:rsidR="00E85D60" w:rsidRDefault="00956647" w:rsidP="00956647">
      <w:pPr>
        <w:pStyle w:val="Heading10"/>
      </w:pPr>
      <w:r>
        <w:t>&lt;</w:t>
      </w:r>
      <w:r w:rsidR="00E85D60">
        <w:t>Function Name</w:t>
      </w:r>
      <w:r>
        <w:t>&gt; description</w:t>
      </w:r>
    </w:p>
    <w:p w14:paraId="116B95D4" w14:textId="5DA99A69" w:rsidR="00E85D60" w:rsidRPr="00E85D60" w:rsidRDefault="00B45381" w:rsidP="00E85D60">
      <w:pPr>
        <w:pStyle w:val="BodyText"/>
        <w:keepNext/>
        <w:rPr>
          <w:rFonts w:eastAsia="Arial"/>
          <w:b/>
          <w:i/>
          <w:color w:val="1F497D" w:themeColor="text2"/>
        </w:rPr>
      </w:pPr>
      <w:r>
        <w:rPr>
          <w:rFonts w:eastAsia="Arial"/>
          <w:b/>
          <w:i/>
          <w:color w:val="1F497D" w:themeColor="text2"/>
        </w:rPr>
        <w:t>&lt;Provide a detailed description of the function, its inputs, and pre-process and post-process scripts. Here is a simple example</w:t>
      </w:r>
      <w:r w:rsidR="00216076">
        <w:rPr>
          <w:rFonts w:eastAsia="Arial"/>
          <w:b/>
          <w:i/>
          <w:color w:val="1F497D" w:themeColor="text2"/>
        </w:rPr>
        <w:t>.</w:t>
      </w:r>
      <w:r>
        <w:rPr>
          <w:rFonts w:eastAsia="Arial"/>
          <w:b/>
          <w:i/>
          <w:color w:val="1F497D" w:themeColor="text2"/>
        </w:rPr>
        <w:t>&gt;</w:t>
      </w:r>
    </w:p>
    <w:p w14:paraId="10BDA0DE" w14:textId="77777777" w:rsidR="00E85D60" w:rsidRDefault="00E85D60" w:rsidP="00E85D60">
      <w:pPr>
        <w:pStyle w:val="BodyText"/>
        <w:keepNext/>
      </w:pPr>
      <w:r>
        <w:t xml:space="preserve">This function adds a new item to an existing QRadar reference set. It uses two input parameters:  </w:t>
      </w:r>
    </w:p>
    <w:p w14:paraId="3278FE5D" w14:textId="77777777" w:rsidR="00E85D60" w:rsidRDefault="00E85D60" w:rsidP="00E85D60">
      <w:pPr>
        <w:pStyle w:val="ListBullet"/>
      </w:pPr>
      <w:r>
        <w:t>qradar_reference_set_name is the name of an existing reference set in QRadar</w:t>
      </w:r>
    </w:p>
    <w:p w14:paraId="17A34939" w14:textId="77777777" w:rsidR="00E85D60" w:rsidRDefault="00E85D60" w:rsidP="00E85D60">
      <w:pPr>
        <w:pStyle w:val="ListBullet"/>
      </w:pPr>
      <w:r>
        <w:t xml:space="preserve">qradar_reference_set_item_value is the value to be added. </w:t>
      </w:r>
    </w:p>
    <w:p w14:paraId="78447F94" w14:textId="6E3CD444" w:rsidR="00E85D60" w:rsidRDefault="00E85D60" w:rsidP="00E85D60">
      <w:pPr>
        <w:pStyle w:val="BodyText"/>
      </w:pPr>
      <w:r>
        <w:t>The input is populated by the workflow, “Example of adding an item to QRadar reference set”.</w:t>
      </w:r>
    </w:p>
    <w:p w14:paraId="25916E35" w14:textId="77777777" w:rsidR="00E85D60" w:rsidRDefault="00E85D60" w:rsidP="00E85D60">
      <w:pPr>
        <w:pStyle w:val="BodyText"/>
        <w:keepNext/>
      </w:pPr>
      <w:r>
        <w:t xml:space="preserve">The workflow, “Example of adding an item to QRadar reference set”, sets the function’s input fields: </w:t>
      </w:r>
    </w:p>
    <w:p w14:paraId="6F3DDF70" w14:textId="77777777" w:rsidR="00E85D60" w:rsidRDefault="00E85D60" w:rsidP="00E85D60">
      <w:pPr>
        <w:pStyle w:val="ListBullet"/>
      </w:pPr>
      <w:r>
        <w:t>“qradar_reference_set_name” is mapped to “Sample Blocked IPs”</w:t>
      </w:r>
    </w:p>
    <w:p w14:paraId="2E379DE2" w14:textId="77777777" w:rsidR="00E85D60" w:rsidRDefault="00E85D60" w:rsidP="00E85D60">
      <w:pPr>
        <w:pStyle w:val="ListBullet"/>
      </w:pPr>
      <w:r>
        <w:t xml:space="preserve">qradar_reference_set_item_value is mapped to the artifact value, and then runs the function.  </w:t>
      </w:r>
    </w:p>
    <w:p w14:paraId="70EFC34D" w14:textId="26B0BA33" w:rsidR="00E85D60" w:rsidRDefault="00E85D60" w:rsidP="00E85D60">
      <w:pPr>
        <w:pStyle w:val="BodyText"/>
      </w:pPr>
      <w:r>
        <w:t xml:space="preserve">The workflow is initiated by the rule, “QRadar Add to Reference Set”.  </w:t>
      </w:r>
    </w:p>
    <w:p w14:paraId="0CB0DBE4" w14:textId="3FF79519" w:rsidR="00E85D60" w:rsidRDefault="00E85D60" w:rsidP="00E85D60">
      <w:pPr>
        <w:pStyle w:val="BodyText"/>
        <w:keepNext/>
      </w:pPr>
      <w:r>
        <w:lastRenderedPageBreak/>
        <w:t>The example rule, “QRadar Add to Reference Set”, is a menu item rule for an artifact. The user can select this action in the menu to initiate the workflow.</w:t>
      </w:r>
    </w:p>
    <w:p w14:paraId="477D7F90" w14:textId="77777777" w:rsidR="00956647" w:rsidRDefault="00956647" w:rsidP="00956647">
      <w:pPr>
        <w:pStyle w:val="Heading10"/>
      </w:pPr>
      <w:r>
        <w:t>&lt;Function Name&gt; description</w:t>
      </w:r>
    </w:p>
    <w:p w14:paraId="41354FC8" w14:textId="4E958356" w:rsidR="00B45381" w:rsidRPr="00E85D60" w:rsidRDefault="00B45381" w:rsidP="00B45381">
      <w:pPr>
        <w:pStyle w:val="BodyText"/>
        <w:keepNext/>
        <w:rPr>
          <w:rFonts w:eastAsia="Arial"/>
          <w:b/>
          <w:i/>
          <w:color w:val="1F497D" w:themeColor="text2"/>
        </w:rPr>
      </w:pPr>
      <w:r>
        <w:rPr>
          <w:rFonts w:eastAsia="Arial"/>
          <w:b/>
          <w:i/>
          <w:color w:val="1F497D" w:themeColor="text2"/>
        </w:rPr>
        <w:t>&lt;Provide a detailed description of the function, its inputs, and pre-process and post-process scripts. Here is a more complex example</w:t>
      </w:r>
      <w:r w:rsidR="00216076">
        <w:rPr>
          <w:rFonts w:eastAsia="Arial"/>
          <w:b/>
          <w:i/>
          <w:color w:val="1F497D" w:themeColor="text2"/>
        </w:rPr>
        <w:t>.</w:t>
      </w:r>
      <w:r>
        <w:rPr>
          <w:rFonts w:eastAsia="Arial"/>
          <w:b/>
          <w:i/>
          <w:color w:val="1F497D" w:themeColor="text2"/>
        </w:rPr>
        <w:t>&gt;</w:t>
      </w:r>
    </w:p>
    <w:p w14:paraId="4E0E67EA" w14:textId="77777777" w:rsidR="00E85D60" w:rsidRDefault="00F75B84" w:rsidP="00F75B84">
      <w:pPr>
        <w:pStyle w:val="BodyText"/>
        <w:keepNext/>
      </w:pPr>
      <w:r>
        <w:t>This function retrieves ATT&amp;CK information on the given MITRE technique from the MITRE STIX TAXII server. To retrieve information on a MITRE technique from within an incident</w:t>
      </w:r>
      <w:r w:rsidR="00E85D60">
        <w:t>:</w:t>
      </w:r>
    </w:p>
    <w:p w14:paraId="49086D32" w14:textId="77777777" w:rsidR="00E85D60" w:rsidRDefault="00E85D60" w:rsidP="006B0302">
      <w:pPr>
        <w:pStyle w:val="BodyText"/>
        <w:keepNext/>
        <w:numPr>
          <w:ilvl w:val="0"/>
          <w:numId w:val="36"/>
        </w:numPr>
      </w:pPr>
      <w:r>
        <w:t>O</w:t>
      </w:r>
      <w:r w:rsidR="00F75B84">
        <w:t>pen an incident</w:t>
      </w:r>
      <w:r>
        <w:t xml:space="preserve"> and s</w:t>
      </w:r>
      <w:r w:rsidR="00F75B84">
        <w:t>elect the MITRE tab</w:t>
      </w:r>
      <w:r>
        <w:t>.</w:t>
      </w:r>
    </w:p>
    <w:p w14:paraId="6FE23E4C" w14:textId="4D7C8739" w:rsidR="00F75B84" w:rsidRDefault="00E85D60" w:rsidP="006B0302">
      <w:pPr>
        <w:pStyle w:val="BodyText"/>
        <w:keepNext/>
        <w:numPr>
          <w:ilvl w:val="0"/>
          <w:numId w:val="36"/>
        </w:numPr>
      </w:pPr>
      <w:r>
        <w:t>E</w:t>
      </w:r>
      <w:r w:rsidR="00F75B84">
        <w:t>dit the custom field, “MITRE ATT&amp;CK Technique name” and enter a technique name, for example, “AppleScript”.</w:t>
      </w:r>
    </w:p>
    <w:p w14:paraId="3D5C7AF0" w14:textId="58727132" w:rsidR="00E85D60" w:rsidRDefault="00E85D60" w:rsidP="006B0302">
      <w:pPr>
        <w:pStyle w:val="BodyText"/>
        <w:keepNext/>
        <w:numPr>
          <w:ilvl w:val="0"/>
          <w:numId w:val="36"/>
        </w:numPr>
      </w:pPr>
      <w:r>
        <w:t xml:space="preserve">Click </w:t>
      </w:r>
      <w:r w:rsidRPr="001D6DAB">
        <w:rPr>
          <w:b/>
        </w:rPr>
        <w:t>Actions-&gt;Get MITRE technique information</w:t>
      </w:r>
      <w:r>
        <w:t>.</w:t>
      </w:r>
    </w:p>
    <w:p w14:paraId="7F34629A" w14:textId="377A89FF" w:rsidR="00F75B84" w:rsidRDefault="00F75B84" w:rsidP="00F75B84">
      <w:pPr>
        <w:pStyle w:val="BodyText"/>
        <w:keepNext/>
      </w:pPr>
      <w:r>
        <w:t>This invokes the “Example of getting MITRE technique information” workflow, which calls the “MITRE Technique Information” function. The workflow uses the results to populate the “MITRE ATT&amp;CK Techniques” data table. For example:</w:t>
      </w:r>
    </w:p>
    <w:p w14:paraId="17B7A981" w14:textId="77777777" w:rsidR="00F75B84" w:rsidRDefault="00F75B84" w:rsidP="00F75B84">
      <w:pPr>
        <w:pStyle w:val="BodyText"/>
      </w:pPr>
      <w:r>
        <w:rPr>
          <w:noProof/>
        </w:rPr>
        <w:drawing>
          <wp:inline distT="0" distB="0" distL="0" distR="0" wp14:anchorId="37FCB95B" wp14:editId="6B6E7B22">
            <wp:extent cx="5837001" cy="2165230"/>
            <wp:effectExtent l="38100" t="38100" r="87630" b="1022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 rule tech result2.png"/>
                    <pic:cNvPicPr/>
                  </pic:nvPicPr>
                  <pic:blipFill>
                    <a:blip r:embed="rId13">
                      <a:extLst>
                        <a:ext uri="{28A0092B-C50C-407E-A947-70E740481C1C}">
                          <a14:useLocalDpi xmlns:a14="http://schemas.microsoft.com/office/drawing/2010/main" val="0"/>
                        </a:ext>
                      </a:extLst>
                    </a:blip>
                    <a:stretch>
                      <a:fillRect/>
                    </a:stretch>
                  </pic:blipFill>
                  <pic:spPr>
                    <a:xfrm>
                      <a:off x="0" y="0"/>
                      <a:ext cx="5861716" cy="2174398"/>
                    </a:xfrm>
                    <a:prstGeom prst="rect">
                      <a:avLst/>
                    </a:prstGeom>
                    <a:effectLst>
                      <a:outerShdw blurRad="50800" dist="38100" dir="2700000" algn="tl" rotWithShape="0">
                        <a:prstClr val="black">
                          <a:alpha val="40000"/>
                        </a:prstClr>
                      </a:outerShdw>
                    </a:effectLst>
                  </pic:spPr>
                </pic:pic>
              </a:graphicData>
            </a:graphic>
          </wp:inline>
        </w:drawing>
      </w:r>
    </w:p>
    <w:p w14:paraId="07ED915D" w14:textId="77777777" w:rsidR="00F75B84" w:rsidRDefault="00F75B84" w:rsidP="00F75B84">
      <w:pPr>
        <w:pStyle w:val="BodyText"/>
      </w:pPr>
      <w:r>
        <w:t>The flag, “mitre_technique_mitigation_only” is only pertinent to the rule, “Create Task for MITRE ATT&amp;CK technique”, which is described later in this guide.</w:t>
      </w:r>
      <w:bookmarkEnd w:id="3"/>
    </w:p>
    <w:sectPr w:rsidR="00F75B84"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13AD0" w14:textId="77777777" w:rsidR="002E2215" w:rsidRDefault="002E2215">
      <w:r>
        <w:separator/>
      </w:r>
    </w:p>
  </w:endnote>
  <w:endnote w:type="continuationSeparator" w:id="0">
    <w:p w14:paraId="7CFEE6A2" w14:textId="77777777" w:rsidR="002E2215" w:rsidRDefault="002E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8FC2" w14:textId="77777777" w:rsidR="00E527E0" w:rsidRDefault="00E527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82FA3">
      <w:rPr>
        <w:noProof/>
        <w:sz w:val="18"/>
        <w:szCs w:val="18"/>
      </w:rPr>
      <w:t>5</w:t>
    </w:r>
    <w:r w:rsidRPr="006609E6">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490C42E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218A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C6FB7" w14:textId="77777777" w:rsidR="002E2215" w:rsidRDefault="002E2215">
      <w:r>
        <w:separator/>
      </w:r>
    </w:p>
  </w:footnote>
  <w:footnote w:type="continuationSeparator" w:id="0">
    <w:p w14:paraId="783D5012" w14:textId="77777777" w:rsidR="002E2215" w:rsidRDefault="002E2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56B67" w14:textId="77777777" w:rsidR="00E527E0" w:rsidRDefault="00E527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872A" w14:textId="77777777" w:rsidR="00E527E0" w:rsidRDefault="00E527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65C92" w14:textId="77777777" w:rsidR="00E527E0" w:rsidRDefault="00E527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29242F0"/>
    <w:multiLevelType w:val="hybridMultilevel"/>
    <w:tmpl w:val="5AB2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737312"/>
    <w:multiLevelType w:val="hybridMultilevel"/>
    <w:tmpl w:val="7088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71D45"/>
    <w:multiLevelType w:val="hybridMultilevel"/>
    <w:tmpl w:val="52D4F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3"/>
  </w:num>
  <w:num w:numId="8">
    <w:abstractNumId w:val="6"/>
  </w:num>
  <w:num w:numId="9">
    <w:abstractNumId w:val="24"/>
  </w:num>
  <w:num w:numId="10">
    <w:abstractNumId w:val="18"/>
  </w:num>
  <w:num w:numId="11">
    <w:abstractNumId w:val="7"/>
  </w:num>
  <w:num w:numId="12">
    <w:abstractNumId w:val="22"/>
  </w:num>
  <w:num w:numId="13">
    <w:abstractNumId w:val="29"/>
  </w:num>
  <w:num w:numId="14">
    <w:abstractNumId w:val="14"/>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3"/>
  </w:num>
  <w:num w:numId="25">
    <w:abstractNumId w:val="19"/>
  </w:num>
  <w:num w:numId="26">
    <w:abstractNumId w:val="8"/>
  </w:num>
  <w:num w:numId="27">
    <w:abstractNumId w:val="20"/>
  </w:num>
  <w:num w:numId="28">
    <w:abstractNumId w:val="1"/>
  </w:num>
  <w:num w:numId="29">
    <w:abstractNumId w:val="21"/>
  </w:num>
  <w:num w:numId="30">
    <w:abstractNumId w:val="16"/>
  </w:num>
  <w:num w:numId="31">
    <w:abstractNumId w:val="13"/>
  </w:num>
  <w:num w:numId="32">
    <w:abstractNumId w:val="9"/>
  </w:num>
  <w:num w:numId="33">
    <w:abstractNumId w:val="5"/>
  </w:num>
  <w:num w:numId="34">
    <w:abstractNumId w:val="12"/>
  </w:num>
  <w:num w:numId="35">
    <w:abstractNumId w:val="1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14D81"/>
    <w:rsid w:val="00023089"/>
    <w:rsid w:val="000265E5"/>
    <w:rsid w:val="0004105A"/>
    <w:rsid w:val="00067589"/>
    <w:rsid w:val="00085AB1"/>
    <w:rsid w:val="00093CC0"/>
    <w:rsid w:val="000964E8"/>
    <w:rsid w:val="00097C36"/>
    <w:rsid w:val="000A3F06"/>
    <w:rsid w:val="000A5A30"/>
    <w:rsid w:val="000A79F3"/>
    <w:rsid w:val="000B0A15"/>
    <w:rsid w:val="000B0D1E"/>
    <w:rsid w:val="000B487D"/>
    <w:rsid w:val="000C41D1"/>
    <w:rsid w:val="000C569C"/>
    <w:rsid w:val="000D13A5"/>
    <w:rsid w:val="000D7077"/>
    <w:rsid w:val="000E3893"/>
    <w:rsid w:val="000F3B7D"/>
    <w:rsid w:val="000F3DD7"/>
    <w:rsid w:val="000F5544"/>
    <w:rsid w:val="00120EFF"/>
    <w:rsid w:val="00131A3E"/>
    <w:rsid w:val="0013762E"/>
    <w:rsid w:val="00144B78"/>
    <w:rsid w:val="00147B5A"/>
    <w:rsid w:val="00171F46"/>
    <w:rsid w:val="0017358A"/>
    <w:rsid w:val="00174021"/>
    <w:rsid w:val="001941C1"/>
    <w:rsid w:val="001A25A1"/>
    <w:rsid w:val="001B086B"/>
    <w:rsid w:val="001B2D7B"/>
    <w:rsid w:val="001C3E34"/>
    <w:rsid w:val="001C529E"/>
    <w:rsid w:val="001C730F"/>
    <w:rsid w:val="001C745C"/>
    <w:rsid w:val="001D7DD5"/>
    <w:rsid w:val="001E4F55"/>
    <w:rsid w:val="001F03E6"/>
    <w:rsid w:val="001F6AD0"/>
    <w:rsid w:val="001F76F9"/>
    <w:rsid w:val="002141F0"/>
    <w:rsid w:val="00216076"/>
    <w:rsid w:val="00221B38"/>
    <w:rsid w:val="0023069C"/>
    <w:rsid w:val="00235336"/>
    <w:rsid w:val="00244249"/>
    <w:rsid w:val="00246418"/>
    <w:rsid w:val="002549C5"/>
    <w:rsid w:val="00254E9F"/>
    <w:rsid w:val="0025598A"/>
    <w:rsid w:val="00263D40"/>
    <w:rsid w:val="00272C1D"/>
    <w:rsid w:val="00274C9C"/>
    <w:rsid w:val="002750DE"/>
    <w:rsid w:val="00277D8F"/>
    <w:rsid w:val="00280676"/>
    <w:rsid w:val="00287BA6"/>
    <w:rsid w:val="00293909"/>
    <w:rsid w:val="002965D4"/>
    <w:rsid w:val="002975BF"/>
    <w:rsid w:val="002A4CD0"/>
    <w:rsid w:val="002A5B99"/>
    <w:rsid w:val="002A645C"/>
    <w:rsid w:val="002C5AD8"/>
    <w:rsid w:val="002D6C32"/>
    <w:rsid w:val="002D758C"/>
    <w:rsid w:val="002E2215"/>
    <w:rsid w:val="002F1AF6"/>
    <w:rsid w:val="00300958"/>
    <w:rsid w:val="0030433E"/>
    <w:rsid w:val="00304962"/>
    <w:rsid w:val="00305B20"/>
    <w:rsid w:val="003279DC"/>
    <w:rsid w:val="003576AE"/>
    <w:rsid w:val="00362D6E"/>
    <w:rsid w:val="0037127E"/>
    <w:rsid w:val="00377074"/>
    <w:rsid w:val="003876DB"/>
    <w:rsid w:val="003905FA"/>
    <w:rsid w:val="003A3728"/>
    <w:rsid w:val="003C039E"/>
    <w:rsid w:val="003C15CC"/>
    <w:rsid w:val="003C446B"/>
    <w:rsid w:val="003D337E"/>
    <w:rsid w:val="003F57A6"/>
    <w:rsid w:val="00411ED8"/>
    <w:rsid w:val="00416FB3"/>
    <w:rsid w:val="00421B92"/>
    <w:rsid w:val="00427E12"/>
    <w:rsid w:val="00465106"/>
    <w:rsid w:val="004737AC"/>
    <w:rsid w:val="004762FF"/>
    <w:rsid w:val="00482FA3"/>
    <w:rsid w:val="004865E2"/>
    <w:rsid w:val="00487DE5"/>
    <w:rsid w:val="004B43CC"/>
    <w:rsid w:val="004D4BA3"/>
    <w:rsid w:val="004E40E9"/>
    <w:rsid w:val="004E7235"/>
    <w:rsid w:val="004F6CA4"/>
    <w:rsid w:val="00512874"/>
    <w:rsid w:val="00521C91"/>
    <w:rsid w:val="00530E89"/>
    <w:rsid w:val="00530EE6"/>
    <w:rsid w:val="00532197"/>
    <w:rsid w:val="00537786"/>
    <w:rsid w:val="00541667"/>
    <w:rsid w:val="005463E6"/>
    <w:rsid w:val="00564EE3"/>
    <w:rsid w:val="005736C8"/>
    <w:rsid w:val="00576010"/>
    <w:rsid w:val="00577ABA"/>
    <w:rsid w:val="00577BE1"/>
    <w:rsid w:val="005910DF"/>
    <w:rsid w:val="00591526"/>
    <w:rsid w:val="005A0A28"/>
    <w:rsid w:val="005A2F5E"/>
    <w:rsid w:val="005B2FB3"/>
    <w:rsid w:val="005B6250"/>
    <w:rsid w:val="005C25D9"/>
    <w:rsid w:val="005C3FDE"/>
    <w:rsid w:val="005C4FB2"/>
    <w:rsid w:val="005D1DBF"/>
    <w:rsid w:val="005E11FD"/>
    <w:rsid w:val="005F1319"/>
    <w:rsid w:val="00600827"/>
    <w:rsid w:val="00606D65"/>
    <w:rsid w:val="00611813"/>
    <w:rsid w:val="00617DC3"/>
    <w:rsid w:val="00622DFB"/>
    <w:rsid w:val="00622FC1"/>
    <w:rsid w:val="00623A24"/>
    <w:rsid w:val="00653591"/>
    <w:rsid w:val="00655429"/>
    <w:rsid w:val="006609E6"/>
    <w:rsid w:val="00662ABF"/>
    <w:rsid w:val="00681205"/>
    <w:rsid w:val="006A72A9"/>
    <w:rsid w:val="006A7429"/>
    <w:rsid w:val="006B42CB"/>
    <w:rsid w:val="006B52CC"/>
    <w:rsid w:val="006C4240"/>
    <w:rsid w:val="006C6AAB"/>
    <w:rsid w:val="006D5546"/>
    <w:rsid w:val="006D5CCF"/>
    <w:rsid w:val="006E13FB"/>
    <w:rsid w:val="006E43E8"/>
    <w:rsid w:val="006F6EBB"/>
    <w:rsid w:val="00704ACA"/>
    <w:rsid w:val="00707349"/>
    <w:rsid w:val="00715805"/>
    <w:rsid w:val="00723252"/>
    <w:rsid w:val="007254EA"/>
    <w:rsid w:val="00726527"/>
    <w:rsid w:val="007346C6"/>
    <w:rsid w:val="00753DC6"/>
    <w:rsid w:val="00754549"/>
    <w:rsid w:val="00762A32"/>
    <w:rsid w:val="007744AC"/>
    <w:rsid w:val="0078088F"/>
    <w:rsid w:val="007A3DBC"/>
    <w:rsid w:val="007C0B2A"/>
    <w:rsid w:val="007D7B5C"/>
    <w:rsid w:val="00801DA6"/>
    <w:rsid w:val="00802DF4"/>
    <w:rsid w:val="00804B72"/>
    <w:rsid w:val="00814A14"/>
    <w:rsid w:val="00816EA8"/>
    <w:rsid w:val="00833879"/>
    <w:rsid w:val="0083469A"/>
    <w:rsid w:val="00834C96"/>
    <w:rsid w:val="008434CF"/>
    <w:rsid w:val="00857179"/>
    <w:rsid w:val="008636BF"/>
    <w:rsid w:val="00866DA4"/>
    <w:rsid w:val="008717DC"/>
    <w:rsid w:val="00874713"/>
    <w:rsid w:val="00877C21"/>
    <w:rsid w:val="008A050B"/>
    <w:rsid w:val="008A31F5"/>
    <w:rsid w:val="008A46B2"/>
    <w:rsid w:val="008B73D2"/>
    <w:rsid w:val="008C268A"/>
    <w:rsid w:val="008D2369"/>
    <w:rsid w:val="008D427F"/>
    <w:rsid w:val="008D7A7F"/>
    <w:rsid w:val="008E347B"/>
    <w:rsid w:val="008E4C05"/>
    <w:rsid w:val="008E5CC4"/>
    <w:rsid w:val="008F4E84"/>
    <w:rsid w:val="008F50F9"/>
    <w:rsid w:val="008F7B8A"/>
    <w:rsid w:val="00905258"/>
    <w:rsid w:val="009077EB"/>
    <w:rsid w:val="00911649"/>
    <w:rsid w:val="0091484A"/>
    <w:rsid w:val="0091653F"/>
    <w:rsid w:val="00956647"/>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76B41"/>
    <w:rsid w:val="00AA0158"/>
    <w:rsid w:val="00AB2F66"/>
    <w:rsid w:val="00AC02E1"/>
    <w:rsid w:val="00AC1006"/>
    <w:rsid w:val="00AC5E54"/>
    <w:rsid w:val="00AF2A63"/>
    <w:rsid w:val="00AF3DF3"/>
    <w:rsid w:val="00B02CEB"/>
    <w:rsid w:val="00B12769"/>
    <w:rsid w:val="00B17E46"/>
    <w:rsid w:val="00B22452"/>
    <w:rsid w:val="00B45381"/>
    <w:rsid w:val="00B47726"/>
    <w:rsid w:val="00B60CAD"/>
    <w:rsid w:val="00B836FB"/>
    <w:rsid w:val="00B849B2"/>
    <w:rsid w:val="00B94292"/>
    <w:rsid w:val="00BA612C"/>
    <w:rsid w:val="00BC340E"/>
    <w:rsid w:val="00BC7548"/>
    <w:rsid w:val="00BD080D"/>
    <w:rsid w:val="00BD235A"/>
    <w:rsid w:val="00BD63CB"/>
    <w:rsid w:val="00BF7D98"/>
    <w:rsid w:val="00C02368"/>
    <w:rsid w:val="00C0546B"/>
    <w:rsid w:val="00C07E76"/>
    <w:rsid w:val="00C13E76"/>
    <w:rsid w:val="00C1619D"/>
    <w:rsid w:val="00C218AB"/>
    <w:rsid w:val="00C24305"/>
    <w:rsid w:val="00C25D91"/>
    <w:rsid w:val="00C35742"/>
    <w:rsid w:val="00C542CC"/>
    <w:rsid w:val="00C70104"/>
    <w:rsid w:val="00C772DD"/>
    <w:rsid w:val="00C80D30"/>
    <w:rsid w:val="00C951A3"/>
    <w:rsid w:val="00CA23B7"/>
    <w:rsid w:val="00CB0BFE"/>
    <w:rsid w:val="00CB3883"/>
    <w:rsid w:val="00CC01C7"/>
    <w:rsid w:val="00CC727F"/>
    <w:rsid w:val="00CD67F5"/>
    <w:rsid w:val="00CD7917"/>
    <w:rsid w:val="00CE49E6"/>
    <w:rsid w:val="00CF0DBA"/>
    <w:rsid w:val="00D1028F"/>
    <w:rsid w:val="00D239BD"/>
    <w:rsid w:val="00D340FE"/>
    <w:rsid w:val="00D35E5E"/>
    <w:rsid w:val="00D4091F"/>
    <w:rsid w:val="00D43003"/>
    <w:rsid w:val="00D54F85"/>
    <w:rsid w:val="00D83674"/>
    <w:rsid w:val="00D85EFC"/>
    <w:rsid w:val="00D9114A"/>
    <w:rsid w:val="00D911DE"/>
    <w:rsid w:val="00D96B96"/>
    <w:rsid w:val="00D975A6"/>
    <w:rsid w:val="00DB705D"/>
    <w:rsid w:val="00DB723F"/>
    <w:rsid w:val="00DD1C53"/>
    <w:rsid w:val="00E05614"/>
    <w:rsid w:val="00E32539"/>
    <w:rsid w:val="00E3310F"/>
    <w:rsid w:val="00E41A7D"/>
    <w:rsid w:val="00E44BC6"/>
    <w:rsid w:val="00E5206D"/>
    <w:rsid w:val="00E527E0"/>
    <w:rsid w:val="00E71463"/>
    <w:rsid w:val="00E84C6C"/>
    <w:rsid w:val="00E85D60"/>
    <w:rsid w:val="00E9761A"/>
    <w:rsid w:val="00EA1454"/>
    <w:rsid w:val="00EA57C8"/>
    <w:rsid w:val="00EB2971"/>
    <w:rsid w:val="00EC08EB"/>
    <w:rsid w:val="00EC4648"/>
    <w:rsid w:val="00ED0DEC"/>
    <w:rsid w:val="00EE0AC1"/>
    <w:rsid w:val="00EE1A56"/>
    <w:rsid w:val="00EF1BC9"/>
    <w:rsid w:val="00EF3856"/>
    <w:rsid w:val="00F01D4F"/>
    <w:rsid w:val="00F25172"/>
    <w:rsid w:val="00F33F4A"/>
    <w:rsid w:val="00F34EDD"/>
    <w:rsid w:val="00F37FA8"/>
    <w:rsid w:val="00F4263F"/>
    <w:rsid w:val="00F50C71"/>
    <w:rsid w:val="00F6002E"/>
    <w:rsid w:val="00F64A7A"/>
    <w:rsid w:val="00F75B84"/>
    <w:rsid w:val="00F8271D"/>
    <w:rsid w:val="00FA049F"/>
    <w:rsid w:val="00FA2949"/>
    <w:rsid w:val="00FB0D82"/>
    <w:rsid w:val="00FB1F8D"/>
    <w:rsid w:val="00FB594C"/>
    <w:rsid w:val="00FC3E02"/>
    <w:rsid w:val="00FE2039"/>
    <w:rsid w:val="00FF6BF0"/>
    <w:rsid w:val="00FF7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726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bmresilient/resilient-reference/blob/master/developer_guides/Integration%20Server%20Guide.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ibmresilient/resilient-reference/blob/master/developer_guides/Template%20for%20Resilient%20Integrations%20User%20Guide.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C97C1-527C-4A80-A34F-DD4FE8F2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Resilient SOAR &lt;Function Name&gt; Function Guide</vt:lpstr>
    </vt:vector>
  </TitlesOfParts>
  <Company>IBM Resilient</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SOAR &lt;Function Name&gt; Function Guide</dc:title>
  <dc:subject/>
  <dc:creator>IBM Resilient</dc:creator>
  <cp:keywords/>
  <dc:description/>
  <cp:lastModifiedBy>User1</cp:lastModifiedBy>
  <cp:revision>23</cp:revision>
  <cp:lastPrinted>2018-04-09T16:01:00Z</cp:lastPrinted>
  <dcterms:created xsi:type="dcterms:W3CDTF">2019-04-09T20:23:00Z</dcterms:created>
  <dcterms:modified xsi:type="dcterms:W3CDTF">2019-05-20T11:28:00Z</dcterms:modified>
</cp:coreProperties>
</file>