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sz="0"/>
          <w:left w:val="nil" w:sz="0"/>
          <w:bottom w:val="nil" w:sz="0"/>
          <w:right w:val="nil" w:sz="0"/>
          <w:insideH w:val="nil" w:sz="0"/>
          <w:insideV w:val="nil" w:sz="0"/>
        </w:tblBorders>
      </w:tblPr>
      <w:tblGrid>
        <w:gridCol w:w="3744"/>
        <w:gridCol w:w="6336"/>
      </w:tblGrid>
      <w:tr>
        <w:tc>
          <w:tcPr>
            <w:tcW w:type="dxa" w:w="5378"/>
          </w:tcPr>
          <w:p>
            <w:pPr>
              <w:jc w:val="left"/>
            </w:pPr>
            <w:r/>
            <w:r>
              <w:drawing>
                <wp:inline xmlns:a="http://schemas.openxmlformats.org/drawingml/2006/main" xmlns:pic="http://schemas.openxmlformats.org/drawingml/2006/picture">
                  <wp:extent cx="1524000" cy="566928"/>
                  <wp:docPr id="1" name="Picture 1"/>
                  <wp:cNvGraphicFramePr>
                    <a:graphicFrameLocks noChangeAspect="1"/>
                  </wp:cNvGraphicFramePr>
                  <a:graphic>
                    <a:graphicData uri="http://schemas.openxmlformats.org/drawingml/2006/picture">
                      <pic:pic>
                        <pic:nvPicPr>
                          <pic:cNvPr id="0" name="MIMOS_Solutions_LOGO_from_PO.png"/>
                          <pic:cNvPicPr/>
                        </pic:nvPicPr>
                        <pic:blipFill>
                          <a:blip r:embed="rId9"/>
                          <a:stretch>
                            <a:fillRect/>
                          </a:stretch>
                        </pic:blipFill>
                        <pic:spPr>
                          <a:xfrm>
                            <a:off x="0" y="0"/>
                            <a:ext cx="1524000" cy="566928"/>
                          </a:xfrm>
                          <a:prstGeom prst="rect"/>
                        </pic:spPr>
                      </pic:pic>
                    </a:graphicData>
                  </a:graphic>
                </wp:inline>
              </w:drawing>
            </w:r>
          </w:p>
          <w:p>
            <w:pPr>
              <w:spacing w:after="0" w:before="0"/>
            </w:pPr>
            <w:r>
              <w:rPr>
                <w:rFonts w:ascii="Helvetica" w:hAnsi="Helvetica"/>
                <w:b/>
                <w:i w:val="0"/>
                <w:sz w:val="16"/>
              </w:rPr>
              <w:t>MIMOS SOLUTIONS SDN. BHD.</w:t>
            </w:r>
          </w:p>
          <w:p>
            <w:pPr>
              <w:spacing w:after="0" w:before="0"/>
            </w:pPr>
            <w:r>
              <w:rPr>
                <w:rFonts w:ascii="Helvetica" w:hAnsi="Helvetica"/>
                <w:b/>
                <w:i w:val="0"/>
                <w:sz w:val="16"/>
              </w:rPr>
              <w:t>201101029324 (957459-K)</w:t>
            </w:r>
          </w:p>
          <w:p>
            <w:pPr>
              <w:spacing w:after="0" w:before="0"/>
            </w:pPr>
            <w:r>
              <w:rPr>
                <w:rFonts w:ascii="Helvetica" w:hAnsi="Helvetica"/>
                <w:b w:val="0"/>
                <w:i w:val="0"/>
                <w:sz w:val="16"/>
              </w:rPr>
              <w:t>SST No. : W10-1808-32000747</w:t>
            </w:r>
          </w:p>
          <w:p>
            <w:pPr>
              <w:spacing w:after="0" w:before="0"/>
            </w:pPr>
            <w:r>
              <w:rPr>
                <w:rFonts w:ascii="Helvetica" w:hAnsi="Helvetica"/>
                <w:b w:val="0"/>
                <w:i w:val="0"/>
                <w:sz w:val="16"/>
              </w:rPr>
              <w:t>Technology Park Malaysia</w:t>
            </w:r>
          </w:p>
          <w:p>
            <w:pPr>
              <w:spacing w:after="0" w:before="0"/>
            </w:pPr>
            <w:r>
              <w:rPr>
                <w:rFonts w:ascii="Helvetica" w:hAnsi="Helvetica"/>
                <w:b w:val="0"/>
                <w:i w:val="0"/>
                <w:sz w:val="16"/>
              </w:rPr>
              <w:t>57000 Kuala Lumpur</w:t>
            </w:r>
          </w:p>
          <w:p>
            <w:pPr>
              <w:spacing w:after="0" w:before="0"/>
            </w:pPr>
            <w:r>
              <w:rPr>
                <w:rFonts w:ascii="Helvetica" w:hAnsi="Helvetica"/>
                <w:b w:val="0"/>
                <w:i w:val="0"/>
                <w:sz w:val="16"/>
              </w:rPr>
              <w:t>Malaysia</w:t>
            </w:r>
          </w:p>
          <w:p>
            <w:pPr>
              <w:spacing w:after="0" w:before="0"/>
            </w:pPr>
            <w:r>
              <w:rPr>
                <w:rFonts w:ascii="Helvetica" w:hAnsi="Helvetica"/>
                <w:b w:val="0"/>
                <w:i/>
                <w:sz w:val="8"/>
              </w:rPr>
              <w:t>(formerly known as MIMOS Technology Solutions Sdn. Bhd.)</w:t>
            </w:r>
          </w:p>
          <w:p>
            <w:pPr>
              <w:spacing w:after="0" w:before="0"/>
            </w:pPr>
            <w:r>
              <w:rPr>
                <w:rFonts w:ascii="Helvetica" w:hAnsi="Helvetica"/>
                <w:b w:val="0"/>
                <w:i w:val="0"/>
                <w:sz w:val="16"/>
              </w:rPr>
              <w:t>Tel  No:+60 3 8995 5000</w:t>
            </w:r>
          </w:p>
          <w:p>
            <w:pPr>
              <w:spacing w:after="0" w:before="0"/>
            </w:pPr>
            <w:r>
              <w:rPr>
                <w:rFonts w:ascii="Helvetica" w:hAnsi="Helvetica"/>
                <w:b w:val="0"/>
                <w:i w:val="0"/>
                <w:sz w:val="16"/>
              </w:rPr>
              <w:t>http://www.mimossolutions.my</w:t>
            </w:r>
          </w:p>
        </w:tc>
        <w:tc>
          <w:tcPr>
            <w:tcW w:type="dxa" w:w="5378"/>
          </w:tcPr>
          <w:p>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2"/>
              <w:gridCol w:w="2102"/>
              <w:gridCol w:w="2102"/>
            </w:tblGrid>
            <w:tr>
              <w:tc>
                <w:tcPr>
                  <w:tcW w:type="dxa" w:w="5379"/>
                  <w:gridSpan w:val="3"/>
                </w:tcPr>
                <w:p>
                  <w:pPr>
                    <w:jc w:val="center"/>
                  </w:pPr>
                  <w:r/>
                  <w:r>
                    <w:drawing>
                      <wp:inline xmlns:a="http://schemas.openxmlformats.org/drawingml/2006/main" xmlns:pic="http://schemas.openxmlformats.org/drawingml/2006/picture">
                        <wp:extent cx="3200400" cy="171773"/>
                        <wp:docPr id="2" name="Picture 2"/>
                        <wp:cNvGraphicFramePr>
                          <a:graphicFrameLocks noChangeAspect="1"/>
                        </wp:cNvGraphicFramePr>
                        <a:graphic>
                          <a:graphicData uri="http://schemas.openxmlformats.org/drawingml/2006/picture">
                            <pic:pic>
                              <pic:nvPicPr>
                                <pic:cNvPr id="0" name="pixmap_19.png"/>
                                <pic:cNvPicPr/>
                              </pic:nvPicPr>
                              <pic:blipFill>
                                <a:blip r:embed="rId10"/>
                                <a:stretch>
                                  <a:fillRect/>
                                </a:stretch>
                              </pic:blipFill>
                              <pic:spPr>
                                <a:xfrm>
                                  <a:off x="0" y="0"/>
                                  <a:ext cx="3200400" cy="171773"/>
                                </a:xfrm>
                                <a:prstGeom prst="rect"/>
                              </pic:spPr>
                            </pic:pic>
                          </a:graphicData>
                        </a:graphic>
                      </wp:inline>
                    </w:drawing>
                  </w:r>
                </w:p>
              </w:tc>
            </w:tr>
            <w:tr>
              <w:tc>
                <w:tcPr>
                  <w:tcW w:type="dxa" w:w="1793"/>
                </w:tcPr>
                <w:p>
                  <w:pPr>
                    <w:spacing w:after="0" w:before="0" w:line="240" w:lineRule="auto"/>
                    <w:jc w:val="left"/>
                  </w:pPr>
                  <w:r>
                    <w:rPr>
                      <w:rFonts w:ascii="Helvetica" w:hAnsi="Helvetica"/>
                      <w:b w:val="0"/>
                      <w:i w:val="0"/>
                      <w:sz w:val="16"/>
                    </w:rPr>
                    <w:t>Purchase Order No.</w:t>
                  </w:r>
                </w:p>
              </w:tc>
              <w:tc>
                <w:tcPr>
                  <w:tcW w:type="dxa" w:w="1793"/>
                </w:tcPr>
                <w:p>
                  <w:pPr>
                    <w:spacing w:after="0" w:before="0" w:line="240" w:lineRule="auto"/>
                    <w:jc w:val="left"/>
                  </w:pPr>
                  <w:r>
                    <w:rPr>
                      <w:rFonts w:ascii="Helvetica" w:hAnsi="Helvetica"/>
                      <w:b w:val="0"/>
                      <w:i w:val="0"/>
                      <w:sz w:val="16"/>
                    </w:rPr>
                    <w:t>Purchase Order</w:t>
                  </w:r>
                </w:p>
              </w:tc>
              <w:tc>
                <w:tcPr>
                  <w:tcW w:type="dxa" w:w="1793"/>
                </w:tcPr>
                <w:p>
                  <w:pPr>
                    <w:spacing w:after="0" w:before="0" w:line="240" w:lineRule="auto"/>
                    <w:jc w:val="left"/>
                  </w:pPr>
                  <w:r>
                    <w:rPr>
                      <w:rFonts w:ascii="Helvetica" w:hAnsi="Helvetica"/>
                      <w:b w:val="0"/>
                      <w:i w:val="0"/>
                      <w:sz w:val="16"/>
                    </w:rPr>
                    <w:t>Order Date</w:t>
                  </w:r>
                </w:p>
              </w:tc>
            </w:tr>
            <w:tr>
              <w:tc>
                <w:tcPr>
                  <w:tcW w:type="dxa" w:w="1793"/>
                </w:tcPr>
                <w:p>
                  <w:pPr>
                    <w:spacing w:after="0" w:before="0" w:line="240" w:lineRule="auto"/>
                    <w:jc w:val="left"/>
                  </w:pPr>
                  <w:r>
                    <w:rPr>
                      <w:rFonts w:ascii="Courier" w:hAnsi="Courier"/>
                      <w:b w:val="0"/>
                      <w:i w:val="0"/>
                      <w:sz w:val="18"/>
                    </w:rPr>
                    <w:t>7000000306</w:t>
                  </w:r>
                </w:p>
              </w:tc>
              <w:tc>
                <w:tcPr>
                  <w:tcW w:type="dxa" w:w="1793"/>
                </w:tcPr>
                <w:p>
                  <w:pPr>
                    <w:spacing w:after="0" w:before="0" w:line="240" w:lineRule="auto"/>
                    <w:jc w:val="left"/>
                  </w:pPr>
                  <w:r>
                    <w:rPr>
                      <w:rFonts w:ascii="Courier" w:hAnsi="Courier"/>
                      <w:b w:val="0"/>
                      <w:i w:val="0"/>
                      <w:sz w:val="18"/>
                    </w:rPr>
                    <w:t>N/A</w:t>
                  </w:r>
                </w:p>
              </w:tc>
              <w:tc>
                <w:tcPr>
                  <w:tcW w:type="dxa" w:w="1793"/>
                </w:tcPr>
                <w:p>
                  <w:pPr>
                    <w:spacing w:after="0" w:before="0" w:line="240" w:lineRule="auto"/>
                    <w:jc w:val="left"/>
                  </w:pPr>
                  <w:r>
                    <w:rPr>
                      <w:rFonts w:ascii="Courier" w:hAnsi="Courier"/>
                      <w:b w:val="0"/>
                      <w:i w:val="0"/>
                      <w:sz w:val="18"/>
                    </w:rPr>
                    <w:t>25.05.2026</w:t>
                  </w:r>
                </w:p>
              </w:tc>
            </w:tr>
            <w:tr>
              <w:tc>
                <w:tcPr>
                  <w:tcW w:type="dxa" w:w="1793"/>
                </w:tcPr>
                <w:p>
                  <w:pPr>
                    <w:spacing w:after="0" w:before="0" w:line="240" w:lineRule="auto"/>
                    <w:jc w:val="left"/>
                  </w:pPr>
                  <w:r>
                    <w:rPr>
                      <w:rFonts w:ascii="Helvetica" w:hAnsi="Helvetica"/>
                      <w:b w:val="0"/>
                      <w:i w:val="0"/>
                      <w:sz w:val="16"/>
                    </w:rPr>
                    <w:t>Contract No.</w:t>
                  </w:r>
                </w:p>
              </w:tc>
              <w:tc>
                <w:tcPr>
                  <w:tcW w:type="dxa" w:w="1793"/>
                </w:tcPr>
                <w:p>
                  <w:pPr>
                    <w:spacing w:after="0" w:before="0" w:line="240" w:lineRule="auto"/>
                    <w:jc w:val="left"/>
                  </w:pPr>
                  <w:r>
                    <w:rPr>
                      <w:rFonts w:ascii="Helvetica" w:hAnsi="Helvetica"/>
                      <w:b w:val="0"/>
                      <w:i w:val="0"/>
                      <w:sz w:val="16"/>
                    </w:rPr>
                    <w:t>Revision No.</w:t>
                  </w:r>
                </w:p>
              </w:tc>
              <w:tc>
                <w:tcPr>
                  <w:tcW w:type="dxa" w:w="1793"/>
                </w:tcPr>
                <w:p>
                  <w:pPr>
                    <w:spacing w:after="0" w:before="0" w:line="240" w:lineRule="auto"/>
                    <w:jc w:val="left"/>
                  </w:pPr>
                  <w:r>
                    <w:rPr>
                      <w:rFonts w:ascii="Helvetica" w:hAnsi="Helvetica"/>
                      <w:b w:val="0"/>
                      <w:i w:val="0"/>
                      <w:sz w:val="16"/>
                    </w:rPr>
                    <w:t>Page No</w:t>
                  </w:r>
                </w:p>
              </w:tc>
            </w:tr>
            <w:tr>
              <w:tc>
                <w:tcPr>
                  <w:tcW w:type="dxa" w:w="1793"/>
                </w:tcPr>
                <w:p>
                  <w:pPr>
                    <w:spacing w:after="0" w:before="0" w:line="240" w:lineRule="auto"/>
                    <w:jc w:val="left"/>
                  </w:pPr>
                  <w:r>
                    <w:rPr>
                      <w:rFonts w:ascii="Courier" w:hAnsi="Courier"/>
                      <w:b w:val="0"/>
                      <w:i w:val="0"/>
                      <w:sz w:val="18"/>
                    </w:rPr>
                    <w:t>N/A</w:t>
                  </w:r>
                </w:p>
              </w:tc>
              <w:tc>
                <w:tcPr>
                  <w:tcW w:type="dxa" w:w="1793"/>
                </w:tcPr>
                <w:p>
                  <w:pPr>
                    <w:spacing w:after="0" w:before="0" w:line="240" w:lineRule="auto"/>
                    <w:jc w:val="left"/>
                  </w:pPr>
                  <w:r>
                    <w:rPr>
                      <w:rFonts w:ascii="Courier" w:hAnsi="Courier"/>
                      <w:b w:val="0"/>
                      <w:i w:val="0"/>
                      <w:sz w:val="18"/>
                    </w:rPr>
                    <w:t>N/A</w:t>
                  </w:r>
                </w:p>
              </w:tc>
              <w:tc>
                <w:tcPr>
                  <w:tcW w:type="dxa" w:w="1793"/>
                </w:tcPr>
                <w:p>
                  <w:pPr>
                    <w:spacing w:after="0" w:before="0" w:line="240" w:lineRule="auto"/>
                    <w:jc w:val="left"/>
                  </w:pPr>
                  <w:r>
                    <w:rPr>
                      <w:rFonts w:ascii="Courier" w:hAnsi="Courier"/>
                      <w:b w:val="0"/>
                      <w:i w:val="0"/>
                      <w:sz w:val="18"/>
                    </w:rPr>
                    <w:t>1/02</w:t>
                  </w:r>
                </w:p>
              </w:tc>
            </w:tr>
          </w:tbl>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32"/>
        <w:gridCol w:w="2880"/>
        <w:gridCol w:w="2160"/>
      </w:tblGrid>
      <w:tr>
        <w:tc>
          <w:tcPr>
            <w:tcW w:type="dxa" w:w="3586"/>
          </w:tcPr>
          <w:p>
            <w:pPr>
              <w:spacing w:after="0" w:before="0" w:line="240" w:lineRule="auto"/>
              <w:jc w:val="left"/>
            </w:pPr>
            <w:r>
              <w:rPr>
                <w:rFonts w:ascii="Helvetica" w:hAnsi="Helvetica"/>
                <w:b w:val="0"/>
                <w:i w:val="0"/>
                <w:sz w:val="16"/>
              </w:rPr>
              <w:t>Supplier</w:t>
            </w:r>
          </w:p>
        </w:tc>
        <w:tc>
          <w:tcPr>
            <w:tcW w:type="dxa" w:w="3586"/>
          </w:tcPr>
          <w:p>
            <w:pPr>
              <w:spacing w:after="0" w:before="0" w:line="240" w:lineRule="auto"/>
              <w:jc w:val="left"/>
            </w:pPr>
            <w:r>
              <w:rPr>
                <w:rFonts w:ascii="Helvetica" w:hAnsi="Helvetica"/>
                <w:b w:val="0"/>
                <w:i w:val="0"/>
                <w:sz w:val="16"/>
              </w:rPr>
              <w:t>Deliver To</w:t>
            </w:r>
          </w:p>
        </w:tc>
        <w:tc>
          <w:tcPr>
            <w:tcW w:type="dxa" w:w="3586"/>
          </w:tcPr>
          <w:p>
            <w:pPr>
              <w:spacing w:after="0" w:before="0" w:line="240" w:lineRule="auto"/>
              <w:jc w:val="left"/>
            </w:pPr>
            <w:r>
              <w:rPr>
                <w:rFonts w:ascii="Helvetica" w:hAnsi="Helvetica"/>
                <w:b w:val="0"/>
                <w:i w:val="0"/>
                <w:sz w:val="16"/>
              </w:rPr>
              <w:t>Expected Delivery</w:t>
            </w:r>
          </w:p>
        </w:tc>
      </w:tr>
      <w:tr>
        <w:tc>
          <w:tcPr>
            <w:tcW w:type="dxa" w:w="3586"/>
          </w:tcPr>
          <w:p>
            <w:pPr>
              <w:spacing w:after="0" w:before="0" w:line="240" w:lineRule="auto"/>
              <w:jc w:val="left"/>
            </w:pPr>
            <w:r>
              <w:rPr>
                <w:rFonts w:ascii="Courier" w:hAnsi="Courier"/>
                <w:b w:val="0"/>
                <w:i w:val="0"/>
                <w:sz w:val="16"/>
              </w:rPr>
              <w:t>MIMOS SERVICES SDN BHD</w:t>
              <w:br/>
              <w:t>SST No. : W10-1808-21023186</w:t>
              <w:br/>
              <w:t>MIMOS Berhad,</w:t>
              <w:br/>
              <w:t>Taman Teknologi Malaysia,</w:t>
              <w:br/>
              <w:t>57000 Kuala Lumpur</w:t>
              <w:br/>
              <w:t>Kuala Lumpur</w:t>
              <w:br/>
              <w:t>Malaysia</w:t>
            </w:r>
          </w:p>
        </w:tc>
        <w:tc>
          <w:tcPr>
            <w:tcW w:type="dxa" w:w="3586"/>
          </w:tcPr>
          <w:p>
            <w:pPr>
              <w:spacing w:after="0" w:before="0" w:line="240" w:lineRule="auto"/>
              <w:jc w:val="left"/>
            </w:pPr>
            <w:r>
              <w:rPr>
                <w:rFonts w:ascii="Courier" w:hAnsi="Courier"/>
                <w:b w:val="0"/>
                <w:i w:val="0"/>
                <w:sz w:val="16"/>
              </w:rPr>
              <w:t>MIMOS Solutions Sdn Bhd</w:t>
              <w:br/>
              <w:t>Technology Park Malaysia</w:t>
              <w:br/>
              <w:t>57000 Kuala Lumpur.</w:t>
            </w:r>
          </w:p>
        </w:tc>
        <w:tc>
          <w:tcPr>
            <w:tcW w:type="dxa" w:w="3586"/>
          </w:tcPr>
          <w:p>
            <w:pPr>
              <w:spacing w:after="0" w:before="0" w:line="240" w:lineRule="auto"/>
              <w:jc w:val="left"/>
            </w:pPr>
            <w:r>
              <w:rPr>
                <w:rFonts w:ascii="Courier" w:hAnsi="Courier"/>
                <w:b w:val="0"/>
                <w:i w:val="0"/>
                <w:sz w:val="18"/>
              </w:rPr>
              <w:t>24.06.2026</w:t>
            </w:r>
          </w:p>
        </w:tc>
      </w:tr>
    </w:tbl>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32"/>
        <w:gridCol w:w="2880"/>
        <w:gridCol w:w="2160"/>
      </w:tblGrid>
      <w:tr>
        <w:tc>
          <w:tcPr>
            <w:tcW w:type="dxa" w:w="3586"/>
          </w:tcPr>
          <w:p>
            <w:r/>
            <w:r>
              <w:rPr>
                <w:rFonts w:ascii="Helvetica" w:hAnsi="Helvetica"/>
                <w:sz w:val="16"/>
              </w:rPr>
              <w:t>Attn To:</w:t>
              <w:br/>
            </w:r>
            <w:r>
              <w:rPr>
                <w:rFonts w:ascii="Courier" w:hAnsi="Courier"/>
                <w:sz w:val="16"/>
              </w:rPr>
              <w:t>Mohamad Fauzi</w:t>
            </w:r>
          </w:p>
        </w:tc>
        <w:tc>
          <w:tcPr>
            <w:tcW w:type="dxa" w:w="3586"/>
          </w:tcPr>
          <w:p>
            <w:pPr>
              <w:spacing w:after="0" w:before="0" w:line="240" w:lineRule="auto"/>
              <w:jc w:val="left"/>
            </w:pPr>
            <w:r>
              <w:rPr>
                <w:rFonts w:ascii="Helvetica" w:hAnsi="Helvetica"/>
                <w:b w:val="0"/>
                <w:i w:val="0"/>
                <w:sz w:val="16"/>
              </w:rPr>
              <w:t>Attn to (Requestor)</w:t>
              <w:br/>
              <w:t>Saszwani</w:t>
            </w:r>
          </w:p>
        </w:tc>
        <w:tc>
          <w:tcPr>
            <w:tcW w:type="dxa" w:w="3586"/>
          </w:tcPr>
          <w:p>
            <w:pPr>
              <w:spacing w:after="0" w:before="0" w:line="240" w:lineRule="auto"/>
              <w:jc w:val="left"/>
            </w:pPr>
            <w:r>
              <w:rPr>
                <w:rFonts w:ascii="Helvetica" w:hAnsi="Helvetica"/>
                <w:b w:val="0"/>
                <w:i w:val="0"/>
                <w:sz w:val="16"/>
              </w:rPr>
              <w:t>Tel. or Ext. no.</w:t>
              <w:br/>
              <w:t>-</w:t>
            </w:r>
          </w:p>
        </w:tc>
      </w:tr>
      <w:tr>
        <w:tc>
          <w:tcPr>
            <w:tcW w:type="dxa" w:w="3586"/>
          </w:tcPr>
          <w:p>
            <w:pPr>
              <w:spacing w:after="0" w:before="0" w:line="240" w:lineRule="auto"/>
              <w:jc w:val="left"/>
            </w:pPr>
            <w:r>
              <w:rPr>
                <w:rFonts w:ascii="Helvetica" w:hAnsi="Helvetica"/>
                <w:b w:val="0"/>
                <w:i w:val="0"/>
                <w:sz w:val="16"/>
              </w:rPr>
              <w:t>Vendor No</w:t>
              <w:br/>
              <w:t>20009041</w:t>
            </w:r>
          </w:p>
        </w:tc>
        <w:tc>
          <w:tcPr>
            <w:tcW w:type="dxa" w:w="3586"/>
          </w:tcPr>
          <w:p>
            <w:pPr>
              <w:spacing w:after="0" w:before="0" w:line="240" w:lineRule="auto"/>
              <w:jc w:val="left"/>
            </w:pPr>
            <w:r>
              <w:rPr>
                <w:rFonts w:ascii="Helvetica" w:hAnsi="Helvetica"/>
                <w:b w:val="0"/>
                <w:i w:val="0"/>
                <w:sz w:val="16"/>
              </w:rPr>
              <w:t>Tel. No</w:t>
              <w:br/>
              <w:t>60389955000</w:t>
            </w:r>
          </w:p>
        </w:tc>
        <w:tc>
          <w:tcPr>
            <w:tcW w:type="dxa" w:w="3586"/>
          </w:tcPr>
          <w:p>
            <w:pPr>
              <w:spacing w:after="0" w:before="0" w:line="240" w:lineRule="auto"/>
              <w:jc w:val="left"/>
            </w:pPr>
            <w:r>
              <w:rPr>
                <w:rFonts w:ascii="Helvetica" w:hAnsi="Helvetica"/>
                <w:b w:val="0"/>
                <w:i w:val="0"/>
                <w:sz w:val="16"/>
              </w:rPr>
              <w:t>Fax No</w:t>
            </w:r>
          </w:p>
        </w:tc>
      </w:tr>
      <w:tr>
        <w:tc>
          <w:tcPr>
            <w:tcW w:type="dxa" w:w="3586"/>
          </w:tcPr>
          <w:p>
            <w:pPr>
              <w:spacing w:after="0" w:before="0" w:line="240" w:lineRule="auto"/>
              <w:jc w:val="left"/>
            </w:pPr>
            <w:r>
              <w:rPr>
                <w:rFonts w:ascii="Helvetica" w:hAnsi="Helvetica"/>
                <w:b w:val="0"/>
                <w:i w:val="0"/>
                <w:sz w:val="16"/>
              </w:rPr>
              <w:t>Delivery Terms</w:t>
              <w:br/>
              <w:t>Service Completion at MIMOS Solutions</w:t>
            </w:r>
          </w:p>
        </w:tc>
        <w:tc>
          <w:tcPr>
            <w:tcW w:type="dxa" w:w="3586"/>
          </w:tcPr>
          <w:p>
            <w:pPr>
              <w:spacing w:after="0" w:before="0" w:line="240" w:lineRule="auto"/>
              <w:jc w:val="left"/>
            </w:pPr>
            <w:r>
              <w:rPr>
                <w:rFonts w:ascii="Helvetica" w:hAnsi="Helvetica"/>
                <w:b w:val="0"/>
                <w:i w:val="0"/>
                <w:sz w:val="16"/>
              </w:rPr>
              <w:t>Payment Terms</w:t>
              <w:br/>
              <w:t>30 Days Net After Receipt of Undisputed</w:t>
              <w:br/>
              <w:t>Invoice</w:t>
            </w:r>
          </w:p>
        </w:tc>
        <w:tc>
          <w:tcPr>
            <w:tcW w:type="dxa" w:w="3586"/>
          </w:tcPr>
          <w:p>
            <w:pPr>
              <w:spacing w:after="0" w:before="0" w:line="240" w:lineRule="auto"/>
              <w:jc w:val="left"/>
            </w:pPr>
            <w:r>
              <w:rPr>
                <w:rFonts w:ascii="Helvetica" w:hAnsi="Helvetica"/>
                <w:b w:val="0"/>
                <w:i w:val="0"/>
                <w:sz w:val="16"/>
              </w:rPr>
              <w:t>Expected Delivery</w:t>
              <w:br/>
              <w:t>24.06.2026</w:t>
              <w:br/>
              <w:t>Completion Work</w:t>
              <w:br/>
              <w:t>24.06.2026</w:t>
            </w:r>
          </w:p>
        </w:tc>
      </w:tr>
    </w:tbl>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3168"/>
        <w:gridCol w:w="3888"/>
      </w:tblGrid>
      <w:tr>
        <w:tc>
          <w:tcPr>
            <w:tcW w:type="dxa" w:w="3586"/>
          </w:tcPr>
          <w:p>
            <w:pPr>
              <w:spacing w:after="0" w:before="0" w:line="240" w:lineRule="auto"/>
              <w:jc w:val="left"/>
            </w:pPr>
            <w:r>
              <w:rPr>
                <w:rFonts w:ascii="Helvetica" w:hAnsi="Helvetica"/>
                <w:b w:val="0"/>
                <w:i w:val="0"/>
                <w:sz w:val="16"/>
              </w:rPr>
              <w:t>Purchase Requisition(PR) No.</w:t>
            </w:r>
          </w:p>
        </w:tc>
        <w:tc>
          <w:tcPr>
            <w:tcW w:type="dxa" w:w="3586"/>
          </w:tcPr>
          <w:p>
            <w:pPr>
              <w:spacing w:after="0" w:before="0" w:line="240" w:lineRule="auto"/>
              <w:jc w:val="left"/>
            </w:pPr>
            <w:r>
              <w:rPr>
                <w:rFonts w:ascii="Helvetica" w:hAnsi="Helvetica"/>
                <w:b w:val="0"/>
                <w:i w:val="0"/>
                <w:sz w:val="16"/>
              </w:rPr>
              <w:t>Buyers Ref /  Tel. or Ext No.</w:t>
            </w:r>
          </w:p>
        </w:tc>
        <w:tc>
          <w:tcPr>
            <w:tcW w:type="dxa" w:w="3586"/>
          </w:tcPr>
          <w:p>
            <w:pPr>
              <w:spacing w:after="0" w:before="0" w:line="240" w:lineRule="auto"/>
              <w:jc w:val="left"/>
            </w:pPr>
            <w:r>
              <w:rPr>
                <w:rFonts w:ascii="Helvetica" w:hAnsi="Helvetica"/>
                <w:b w:val="0"/>
                <w:i w:val="0"/>
                <w:sz w:val="16"/>
              </w:rPr>
              <w:t>Refer to RFQ / ESS / SebutHarga / Tender No</w:t>
            </w:r>
          </w:p>
        </w:tc>
      </w:tr>
      <w:tr>
        <w:tc>
          <w:tcPr>
            <w:tcW w:type="dxa" w:w="3586"/>
          </w:tcPr>
          <w:p>
            <w:pPr>
              <w:spacing w:after="0" w:before="0" w:line="240" w:lineRule="auto"/>
              <w:jc w:val="left"/>
            </w:pPr>
            <w:r>
              <w:rPr>
                <w:rFonts w:ascii="Courier" w:hAnsi="Courier"/>
                <w:b w:val="0"/>
                <w:i w:val="0"/>
                <w:sz w:val="18"/>
              </w:rPr>
              <w:t>6000000481</w:t>
            </w:r>
          </w:p>
        </w:tc>
        <w:tc>
          <w:tcPr>
            <w:tcW w:type="dxa" w:w="3586"/>
          </w:tcPr>
          <w:p>
            <w:pPr>
              <w:spacing w:after="0" w:before="0" w:line="240" w:lineRule="auto"/>
              <w:jc w:val="left"/>
            </w:pPr>
            <w:r>
              <w:rPr>
                <w:rFonts w:ascii="Courier" w:hAnsi="Courier"/>
                <w:b w:val="0"/>
                <w:i w:val="0"/>
                <w:sz w:val="18"/>
              </w:rPr>
              <w:t>MiTecSolu Proc.Dep / 56009/55923</w:t>
            </w:r>
          </w:p>
        </w:tc>
        <w:tc>
          <w:tcPr>
            <w:tcW w:type="dxa" w:w="3586"/>
          </w:tcPr>
          <w:p>
            <w:pPr>
              <w:spacing w:after="0" w:before="0" w:line="240" w:lineRule="auto"/>
              <w:jc w:val="left"/>
            </w:pPr>
            <w:r>
              <w:rPr>
                <w:rFonts w:ascii="Courier" w:hAnsi="Courier"/>
                <w:b w:val="0"/>
                <w:i w:val="0"/>
                <w:sz w:val="18"/>
              </w:rPr>
              <w:t>34512</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0"/>
      </w:tblGrid>
      <w:tr>
        <w:tc>
          <w:tcPr>
            <w:tcW w:type="dxa" w:w="10757"/>
          </w:tcPr>
          <w:p>
            <w:pPr>
              <w:jc w:val="center"/>
            </w:pPr>
            <w:r/>
            <w:r>
              <w:drawing>
                <wp:inline xmlns:a="http://schemas.openxmlformats.org/drawingml/2006/main" xmlns:pic="http://schemas.openxmlformats.org/drawingml/2006/picture">
                  <wp:extent cx="6400800" cy="179702"/>
                  <wp:docPr id="3" name="Picture 3"/>
                  <wp:cNvGraphicFramePr>
                    <a:graphicFrameLocks noChangeAspect="1"/>
                  </wp:cNvGraphicFramePr>
                  <a:graphic>
                    <a:graphicData uri="http://schemas.openxmlformats.org/drawingml/2006/picture">
                      <pic:pic>
                        <pic:nvPicPr>
                          <pic:cNvPr id="0" name="pixmap_31.png"/>
                          <pic:cNvPicPr/>
                        </pic:nvPicPr>
                        <pic:blipFill>
                          <a:blip r:embed="rId11"/>
                          <a:stretch>
                            <a:fillRect/>
                          </a:stretch>
                        </pic:blipFill>
                        <pic:spPr>
                          <a:xfrm>
                            <a:off x="0" y="0"/>
                            <a:ext cx="6400800" cy="179702"/>
                          </a:xfrm>
                          <a:prstGeom prst="rect"/>
                        </pic:spPr>
                      </pic:pic>
                    </a:graphicData>
                  </a:graphic>
                </wp:inline>
              </w:drawing>
            </w:r>
          </w:p>
        </w:tc>
      </w:tr>
    </w:tbl>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3175"/>
        <w:gridCol w:w="1644"/>
        <w:gridCol w:w="567"/>
        <w:gridCol w:w="624"/>
        <w:gridCol w:w="1871"/>
        <w:gridCol w:w="2211"/>
      </w:tblGrid>
      <w:tr>
        <w:tc>
          <w:tcPr>
            <w:tcW w:type="dxa" w:w="1537"/>
          </w:tcPr>
          <w:p>
            <w:pPr>
              <w:spacing w:after="0" w:before="0" w:line="240" w:lineRule="auto"/>
              <w:jc w:val="center"/>
            </w:pPr>
            <w:r>
              <w:rPr>
                <w:rFonts w:ascii="Helvetica" w:hAnsi="Helvetica"/>
                <w:b w:val="0"/>
                <w:i w:val="0"/>
                <w:sz w:val="16"/>
              </w:rPr>
              <w:t>Item No</w:t>
            </w:r>
          </w:p>
        </w:tc>
        <w:tc>
          <w:tcPr>
            <w:tcW w:type="dxa" w:w="1537"/>
          </w:tcPr>
          <w:p>
            <w:pPr>
              <w:spacing w:after="0" w:before="0" w:line="240" w:lineRule="auto"/>
              <w:jc w:val="center"/>
            </w:pPr>
            <w:r>
              <w:rPr>
                <w:rFonts w:ascii="Helvetica" w:hAnsi="Helvetica"/>
                <w:b w:val="0"/>
                <w:i w:val="0"/>
                <w:sz w:val="16"/>
              </w:rPr>
              <w:t>Description of Goods and/or Services</w:t>
            </w:r>
          </w:p>
        </w:tc>
        <w:tc>
          <w:tcPr>
            <w:tcW w:type="dxa" w:w="1537"/>
          </w:tcPr>
          <w:p>
            <w:pPr>
              <w:spacing w:after="0" w:before="0" w:line="240" w:lineRule="auto"/>
              <w:jc w:val="center"/>
            </w:pPr>
            <w:r>
              <w:rPr>
                <w:rFonts w:ascii="Helvetica" w:hAnsi="Helvetica"/>
                <w:b w:val="0"/>
                <w:i w:val="0"/>
                <w:sz w:val="16"/>
              </w:rPr>
              <w:t>Quantity</w:t>
            </w:r>
          </w:p>
        </w:tc>
        <w:tc>
          <w:tcPr>
            <w:tcW w:type="dxa" w:w="1537"/>
          </w:tcPr>
          <w:p>
            <w:pPr>
              <w:spacing w:after="0" w:before="0" w:line="240" w:lineRule="auto"/>
              <w:jc w:val="center"/>
            </w:pPr>
            <w:r>
              <w:rPr>
                <w:rFonts w:ascii="Helvetica" w:hAnsi="Helvetica"/>
                <w:b w:val="0"/>
                <w:i w:val="0"/>
                <w:sz w:val="16"/>
              </w:rPr>
              <w:t>Unit</w:t>
            </w:r>
          </w:p>
        </w:tc>
        <w:tc>
          <w:tcPr>
            <w:tcW w:type="dxa" w:w="1537"/>
          </w:tcPr>
          <w:p>
            <w:pPr>
              <w:spacing w:after="0" w:before="0" w:line="240" w:lineRule="auto"/>
              <w:jc w:val="center"/>
            </w:pPr>
            <w:r>
              <w:rPr>
                <w:rFonts w:ascii="Helvetica" w:hAnsi="Helvetica"/>
                <w:b w:val="0"/>
                <w:i w:val="0"/>
                <w:sz w:val="16"/>
              </w:rPr>
              <w:t>Per</w:t>
            </w:r>
          </w:p>
        </w:tc>
        <w:tc>
          <w:tcPr>
            <w:tcW w:type="dxa" w:w="1537"/>
          </w:tcPr>
          <w:p>
            <w:pPr>
              <w:spacing w:after="0" w:before="0" w:line="240" w:lineRule="auto"/>
              <w:jc w:val="center"/>
            </w:pPr>
            <w:r>
              <w:rPr>
                <w:rFonts w:ascii="Helvetica" w:hAnsi="Helvetica"/>
                <w:b w:val="0"/>
                <w:i w:val="0"/>
                <w:sz w:val="16"/>
              </w:rPr>
              <w:t>Unit Price</w:t>
              <w:br/>
              <w:t>(Currency MYR)</w:t>
            </w:r>
          </w:p>
        </w:tc>
        <w:tc>
          <w:tcPr>
            <w:tcW w:type="dxa" w:w="1537"/>
          </w:tcPr>
          <w:p>
            <w:pPr>
              <w:spacing w:after="0" w:before="0" w:line="240" w:lineRule="auto"/>
              <w:jc w:val="center"/>
            </w:pPr>
            <w:r>
              <w:rPr>
                <w:rFonts w:ascii="Helvetica" w:hAnsi="Helvetica"/>
                <w:b w:val="0"/>
                <w:i w:val="0"/>
                <w:sz w:val="16"/>
              </w:rPr>
              <w:t>Total Price</w:t>
              <w:br/>
              <w:t>(Currency MYR)</w:t>
            </w:r>
          </w:p>
        </w:tc>
      </w:tr>
      <w:tr>
        <w:tc>
          <w:tcPr>
            <w:tcW w:type="dxa" w:w="1537"/>
          </w:tcPr>
          <w:p>
            <w:pPr>
              <w:spacing w:after="0" w:before="0" w:line="240" w:lineRule="auto"/>
              <w:jc w:val="left"/>
            </w:pPr>
            <w:r>
              <w:rPr>
                <w:rFonts w:ascii="Courier" w:hAnsi="Courier"/>
                <w:b w:val="0"/>
                <w:i w:val="0"/>
                <w:sz w:val="16"/>
              </w:rPr>
              <w:t>010</w:t>
            </w:r>
          </w:p>
        </w:tc>
        <w:tc>
          <w:tcPr>
            <w:tcW w:type="dxa" w:w="1537"/>
          </w:tcPr>
          <w:p>
            <w:pPr>
              <w:spacing w:after="0" w:before="0" w:line="240" w:lineRule="auto"/>
              <w:jc w:val="left"/>
            </w:pPr>
            <w:r>
              <w:rPr>
                <w:rFonts w:ascii="Courier" w:hAnsi="Courier"/>
                <w:b w:val="0"/>
                <w:i w:val="0"/>
                <w:sz w:val="16"/>
              </w:rPr>
              <w:t>7500936   - Oth-Training</w:t>
            </w:r>
          </w:p>
        </w:tc>
        <w:tc>
          <w:tcPr>
            <w:tcW w:type="dxa" w:w="1537"/>
          </w:tcPr>
          <w:p>
            <w:pPr>
              <w:spacing w:after="0" w:before="0" w:line="240" w:lineRule="auto"/>
              <w:jc w:val="center"/>
            </w:pPr>
            <w:r>
              <w:rPr>
                <w:rFonts w:ascii="Courier" w:hAnsi="Courier"/>
                <w:b w:val="0"/>
                <w:i w:val="0"/>
                <w:sz w:val="16"/>
              </w:rPr>
              <w:t>1</w:t>
            </w:r>
          </w:p>
        </w:tc>
        <w:tc>
          <w:tcPr>
            <w:tcW w:type="dxa" w:w="1537"/>
          </w:tcPr>
          <w:p>
            <w:pPr>
              <w:spacing w:after="0" w:before="0" w:line="240" w:lineRule="auto"/>
              <w:jc w:val="center"/>
            </w:pPr>
            <w:r>
              <w:rPr>
                <w:rFonts w:ascii="Courier" w:hAnsi="Courier"/>
                <w:b w:val="0"/>
                <w:i w:val="0"/>
                <w:sz w:val="16"/>
              </w:rPr>
              <w:t>lot</w:t>
            </w:r>
          </w:p>
        </w:tc>
        <w:tc>
          <w:tcPr>
            <w:tcW w:type="dxa" w:w="1537"/>
          </w:tcPr>
          <w:p>
            <w:pPr>
              <w:spacing w:after="0" w:before="0" w:line="240" w:lineRule="auto"/>
              <w:jc w:val="center"/>
            </w:pPr>
            <w:r>
              <w:rPr>
                <w:rFonts w:ascii="Courier" w:hAnsi="Courier"/>
                <w:b w:val="0"/>
                <w:i w:val="0"/>
                <w:sz w:val="16"/>
              </w:rPr>
              <w:t>1</w:t>
            </w:r>
          </w:p>
        </w:tc>
        <w:tc>
          <w:tcPr>
            <w:tcW w:type="dxa" w:w="1537"/>
          </w:tcPr>
          <w:p>
            <w:pPr>
              <w:spacing w:after="0" w:before="0" w:line="240" w:lineRule="auto"/>
              <w:jc w:val="right"/>
            </w:pPr>
            <w:r>
              <w:rPr>
                <w:rFonts w:ascii="Courier" w:hAnsi="Courier"/>
                <w:b w:val="0"/>
                <w:i w:val="0"/>
                <w:sz w:val="16"/>
              </w:rPr>
              <w:t>5,000.00</w:t>
            </w:r>
          </w:p>
        </w:tc>
        <w:tc>
          <w:tcPr>
            <w:tcW w:type="dxa" w:w="1537"/>
          </w:tcPr>
          <w:p>
            <w:pPr>
              <w:spacing w:after="0" w:before="0" w:line="240" w:lineRule="auto"/>
              <w:jc w:val="right"/>
            </w:pPr>
            <w:r>
              <w:rPr>
                <w:rFonts w:ascii="Courier" w:hAnsi="Courier"/>
                <w:b w:val="0"/>
                <w:i w:val="0"/>
                <w:sz w:val="16"/>
              </w:rPr>
              <w:t>5,000.00</w:t>
            </w:r>
          </w:p>
        </w:tc>
      </w:tr>
      <w:tr>
        <w:tc>
          <w:tcPr>
            <w:tcW w:type="dxa" w:w="1537"/>
          </w:tcPr>
          <w:p>
            <w:pPr>
              <w:spacing w:after="0" w:before="0" w:line="240" w:lineRule="auto"/>
              <w:jc w:val="left"/>
            </w:pPr>
            <w:r>
              <w:rPr>
                <w:rFonts w:ascii="Courier" w:hAnsi="Courier"/>
                <w:b w:val="0"/>
                <w:i w:val="0"/>
                <w:sz w:val="16"/>
              </w:rPr>
            </w:r>
          </w:p>
        </w:tc>
        <w:tc>
          <w:tcPr>
            <w:tcW w:type="dxa" w:w="1537"/>
          </w:tcPr>
          <w:p>
            <w:pPr>
              <w:spacing w:after="0" w:before="0" w:line="240" w:lineRule="auto"/>
              <w:jc w:val="left"/>
            </w:pPr>
            <w:r>
              <w:rPr>
                <w:rFonts w:ascii="Courier" w:hAnsi="Courier"/>
                <w:b w:val="0"/>
                <w:i w:val="0"/>
                <w:sz w:val="16"/>
              </w:rPr>
              <w:t>Programme Title: AI Training</w:t>
              <w:br/>
              <w:t>for Work Efficiency (maximum</w:t>
              <w:br/>
              <w:t>participant: 10 pax)</w:t>
              <w:br/>
              <w:t>Package inclusive of:</w:t>
              <w:br/>
              <w:t>- Training Materials</w:t>
              <w:br/>
              <w:t>- Certificate of Completion.</w:t>
              <w:br/>
              <w:t>Note :</w:t>
            </w:r>
          </w:p>
        </w:tc>
        <w:tc>
          <w:tcPr>
            <w:tcW w:type="dxa" w:w="1537"/>
          </w:tcPr>
          <w:p>
            <w:pPr>
              <w:spacing w:after="0" w:before="0" w:line="240" w:lineRule="auto"/>
              <w:jc w:val="left"/>
            </w:pPr>
            <w:r>
              <w:rPr>
                <w:rFonts w:ascii="Courier" w:hAnsi="Courier"/>
                <w:b w:val="0"/>
                <w:i w:val="0"/>
                <w:sz w:val="16"/>
              </w:rPr>
            </w:r>
          </w:p>
        </w:tc>
        <w:tc>
          <w:tcPr>
            <w:tcW w:type="dxa" w:w="1537"/>
          </w:tcPr>
          <w:p>
            <w:pPr>
              <w:spacing w:after="0" w:before="0" w:line="240" w:lineRule="auto"/>
              <w:jc w:val="left"/>
            </w:pPr>
            <w:r>
              <w:rPr>
                <w:rFonts w:ascii="Courier" w:hAnsi="Courier"/>
                <w:b w:val="0"/>
                <w:i w:val="0"/>
                <w:sz w:val="16"/>
              </w:rPr>
            </w:r>
          </w:p>
        </w:tc>
        <w:tc>
          <w:tcPr>
            <w:tcW w:type="dxa" w:w="1537"/>
          </w:tcPr>
          <w:p>
            <w:pPr>
              <w:spacing w:after="0" w:before="0" w:line="240" w:lineRule="auto"/>
              <w:jc w:val="left"/>
            </w:pPr>
            <w:r>
              <w:rPr>
                <w:rFonts w:ascii="Courier" w:hAnsi="Courier"/>
                <w:b w:val="0"/>
                <w:i w:val="0"/>
                <w:sz w:val="16"/>
              </w:rPr>
            </w:r>
          </w:p>
        </w:tc>
        <w:tc>
          <w:tcPr>
            <w:tcW w:type="dxa" w:w="1537"/>
          </w:tcPr>
          <w:p>
            <w:pPr>
              <w:spacing w:after="0" w:before="0" w:line="240" w:lineRule="auto"/>
              <w:jc w:val="left"/>
            </w:pPr>
            <w:r>
              <w:rPr>
                <w:rFonts w:ascii="Courier" w:hAnsi="Courier"/>
                <w:b w:val="0"/>
                <w:i w:val="0"/>
                <w:sz w:val="16"/>
              </w:rPr>
            </w:r>
          </w:p>
        </w:tc>
        <w:tc>
          <w:tcPr>
            <w:tcW w:type="dxa" w:w="1537"/>
          </w:tcPr>
          <w:p>
            <w:pPr>
              <w:spacing w:after="0" w:before="0" w:line="240" w:lineRule="auto"/>
              <w:jc w:val="left"/>
            </w:pPr>
            <w:r>
              <w:rPr>
                <w:rFonts w:ascii="Courier" w:hAnsi="Courier"/>
                <w:b w:val="0"/>
                <w:i w:val="0"/>
                <w:sz w:val="16"/>
              </w:rPr>
            </w:r>
          </w:p>
        </w:tc>
      </w:tr>
      <w:tr>
        <w:tc>
          <w:tcPr>
            <w:tcW w:type="dxa" w:w="1537"/>
          </w:tcPr>
          <w:p>
            <w:pPr>
              <w:spacing w:after="0" w:before="0" w:line="240" w:lineRule="auto"/>
              <w:jc w:val="left"/>
            </w:pPr>
            <w:r>
              <w:rPr>
                <w:rFonts w:ascii="Courier" w:hAnsi="Courier"/>
                <w:b w:val="0"/>
                <w:i w:val="0"/>
                <w:sz w:val="16"/>
              </w:rPr>
            </w:r>
          </w:p>
        </w:tc>
        <w:tc>
          <w:tcPr>
            <w:tcW w:type="dxa" w:w="6148"/>
            <w:gridSpan w:val="4"/>
          </w:tcPr>
          <w:p>
            <w:pPr>
              <w:spacing w:after="0" w:before="0" w:line="240" w:lineRule="auto"/>
              <w:jc w:val="left"/>
            </w:pPr>
            <w:r>
              <w:rPr>
                <w:rFonts w:ascii="Courier" w:hAnsi="Courier"/>
                <w:b w:val="0"/>
                <w:i w:val="0"/>
                <w:sz w:val="18"/>
              </w:rPr>
              <w:t>1. Reference on this PO is made to your RFQ ref.: MSSB-01/2026 dated 5 May 2026.</w:t>
            </w:r>
          </w:p>
        </w:tc>
        <w:tc>
          <w:tcPr>
            <w:tcW w:type="dxa" w:w="1537"/>
          </w:tcPr>
          <w:p>
            <w:pPr>
              <w:spacing w:after="0" w:before="0" w:line="240" w:lineRule="auto"/>
              <w:jc w:val="left"/>
            </w:pPr>
            <w:r>
              <w:rPr>
                <w:rFonts w:ascii="Courier" w:hAnsi="Courier"/>
                <w:b w:val="0"/>
                <w:i w:val="0"/>
                <w:sz w:val="16"/>
              </w:rPr>
            </w:r>
          </w:p>
        </w:tc>
        <w:tc>
          <w:tcPr>
            <w:tcW w:type="dxa" w:w="1537"/>
          </w:tcPr>
          <w:p>
            <w:pPr>
              <w:spacing w:after="0" w:before="0" w:line="240" w:lineRule="auto"/>
              <w:jc w:val="left"/>
            </w:pPr>
            <w:r>
              <w:rPr>
                <w:rFonts w:ascii="Courier" w:hAnsi="Courier"/>
                <w:b w:val="0"/>
                <w:i w:val="0"/>
                <w:sz w:val="16"/>
              </w:rPr>
            </w:r>
          </w:p>
        </w:tc>
      </w:tr>
      <w:tr>
        <w:tc>
          <w:tcPr>
            <w:tcW w:type="dxa" w:w="1537"/>
          </w:tcPr>
          <w:p>
            <w:pPr>
              <w:spacing w:after="0" w:before="0" w:line="240" w:lineRule="auto"/>
              <w:jc w:val="left"/>
            </w:pPr>
            <w:r>
              <w:rPr>
                <w:rFonts w:ascii="Courier" w:hAnsi="Courier"/>
                <w:b w:val="0"/>
                <w:i w:val="0"/>
                <w:sz w:val="16"/>
              </w:rPr>
            </w:r>
          </w:p>
        </w:tc>
        <w:tc>
          <w:tcPr>
            <w:tcW w:type="dxa" w:w="7685"/>
            <w:gridSpan w:val="5"/>
          </w:tcPr>
          <w:p>
            <w:pPr>
              <w:spacing w:after="0" w:before="0" w:line="240" w:lineRule="auto"/>
              <w:jc w:val="left"/>
            </w:pPr>
            <w:r>
              <w:rPr>
                <w:rFonts w:ascii="Courier" w:hAnsi="Courier"/>
                <w:b w:val="0"/>
                <w:i w:val="0"/>
                <w:sz w:val="18"/>
              </w:rPr>
              <w:t>2. The delivery date for the items shall refer to the delivery period in your quotation or earlier.</w:t>
            </w:r>
          </w:p>
        </w:tc>
        <w:tc>
          <w:tcPr>
            <w:tcW w:type="dxa" w:w="1537"/>
          </w:tcPr>
          <w:p>
            <w:pPr>
              <w:spacing w:after="0" w:before="0" w:line="240" w:lineRule="auto"/>
              <w:jc w:val="left"/>
            </w:pPr>
            <w:r>
              <w:rPr>
                <w:rFonts w:ascii="Courier" w:hAnsi="Courier"/>
                <w:b w:val="0"/>
                <w:i w:val="0"/>
                <w:sz w:val="16"/>
              </w:rPr>
            </w:r>
          </w:p>
        </w:tc>
      </w:tr>
    </w:tbl>
    <w:p>
      <w:pPr>
        <w:spacing w:after="80"/>
      </w:pPr>
    </w:p>
    <w:p>
      <w:pPr>
        <w:jc w:val="right"/>
      </w:pPr>
      <w:r>
        <w:rPr>
          <w:rFonts w:ascii="Courier" w:hAnsi="Courier"/>
          <w:sz w:val="18"/>
        </w:rPr>
        <w:t>Continue Next</w:t>
        <w:br/>
        <w:t>Page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378"/>
          </w:tcPr>
          <w:p>
            <w:pPr>
              <w:spacing w:after="0" w:before="0" w:line="240" w:lineRule="auto"/>
              <w:jc w:val="center"/>
            </w:pPr>
            <w:r>
              <w:rPr>
                <w:rFonts w:ascii="Helvetica" w:hAnsi="Helvetica"/>
                <w:b w:val="0"/>
                <w:i w:val="0"/>
                <w:sz w:val="16"/>
              </w:rPr>
              <w:t>Checked by Buyer</w:t>
            </w:r>
          </w:p>
        </w:tc>
        <w:tc>
          <w:tcPr>
            <w:tcW w:type="dxa" w:w="5378"/>
          </w:tcPr>
          <w:p>
            <w:pPr>
              <w:spacing w:after="0" w:before="0" w:line="240" w:lineRule="auto"/>
              <w:jc w:val="center"/>
            </w:pPr>
            <w:r>
              <w:rPr>
                <w:rFonts w:ascii="Helvetica" w:hAnsi="Helvetica"/>
                <w:b w:val="0"/>
                <w:i w:val="0"/>
                <w:sz w:val="16"/>
              </w:rPr>
              <w:t>Approved By</w:t>
            </w:r>
          </w:p>
        </w:tc>
      </w:tr>
      <w:tr>
        <w:tc>
          <w:tcPr>
            <w:tcW w:type="dxa" w:w="5378"/>
          </w:tcPr>
          <w:p>
            <w:pPr>
              <w:spacing w:after="0" w:before="0" w:line="240" w:lineRule="auto"/>
              <w:jc w:val="center"/>
            </w:pPr>
            <w:r>
              <w:rPr>
                <w:rFonts w:ascii="Courier" w:hAnsi="Courier"/>
                <w:b w:val="0"/>
                <w:i w:val="0"/>
                <w:sz w:val="18"/>
              </w:rPr>
              <w:t>ROSSIDAWATI MANSOR</w:t>
            </w:r>
          </w:p>
        </w:tc>
        <w:tc>
          <w:tcPr>
            <w:tcW w:type="dxa" w:w="5378"/>
          </w:tcPr>
          <w:p>
            <w:pPr>
              <w:spacing w:after="0" w:before="0" w:line="240" w:lineRule="auto"/>
              <w:jc w:val="center"/>
            </w:pPr>
            <w:r>
              <w:rPr>
                <w:rFonts w:ascii="Courier" w:hAnsi="Courier"/>
                <w:b w:val="0"/>
                <w:i w:val="0"/>
                <w:sz w:val="18"/>
              </w:rPr>
              <w:t>WAN MUHAMMAD WAN UMAR</w:t>
              <w:br/>
              <w:t>Head of Procurement</w:t>
            </w:r>
          </w:p>
        </w:tc>
      </w:tr>
    </w:tbl>
    <w:p>
      <w:r>
        <w:rPr>
          <w:rFonts w:ascii="Courier" w:hAnsi="Courier"/>
          <w:sz w:val="14"/>
        </w:rPr>
        <w:t>1. ACKNOWLEDGEMENT COPY.</w:t>
        <w:br/>
        <w:t>MIMOS Group of Companies (MIMOS) requires acknowledgment and ot this purchase order (PO) via email within three (3) working days for acceptance/rejection MIMOS' offer. However, in the event Supplier fails to provide MIMOS with a email acknowledgement within three (3) working days ARO and fails to provide MIMOS with a email notice of rejections ofthe order or specific modification of a particular term &amp; condition within that three(3) working days, MIMOS and Supplier hereby agree that all prices and all the terms &amp; conditions as expressed herein and its attachment/appendices, if any, shall apply in full.</w:t>
        <w:br/>
        <w:t>2. RECIPIENT</w:t>
        <w:br/>
        <w:t>Copies of this purchase order (PO) will also be extended to Requestor,MIMOS' Group Finance and MIMOS' Group Procurement for their acknowledgment and filing purpose.</w:t>
        <w:br/>
        <w:t>3.COMPULSORY DOCUMENTS UPON SUBMISSION OF PAYMENT.</w:t>
        <w:br/>
        <w:t>You are required to attach this Purchase Order (PO) with the authorized personnel details, signature and company stamp together with the related supporting documents i.e. Delivery Order (DO) with serial numbers of goods delivered clearly indicated, Certificate of Completion and undisputed invoice to MIMOS Group Finance.</w:t>
        <w:br/>
        <w:t>4.This is a computer generated document and does not require a signature by MIMOS.</w:t>
      </w:r>
    </w:p>
    <w:p>
      <w:r>
        <w:br w:type="page"/>
      </w:r>
    </w:p>
    <w:tbl>
      <w:tblPr>
        <w:tblW w:type="auto" w:w="0"/>
        <w:tblLayout w:type="fixed"/>
        <w:tblLook w:firstColumn="1" w:firstRow="1" w:lastColumn="0" w:lastRow="0" w:noHBand="0" w:noVBand="1" w:val="04A0"/>
        <w:tblBorders>
          <w:top w:val="nil" w:sz="0"/>
          <w:left w:val="nil" w:sz="0"/>
          <w:bottom w:val="nil" w:sz="0"/>
          <w:right w:val="nil" w:sz="0"/>
          <w:insideH w:val="nil" w:sz="0"/>
          <w:insideV w:val="nil" w:sz="0"/>
        </w:tblBorders>
      </w:tblPr>
      <w:tblGrid>
        <w:gridCol w:w="3744"/>
        <w:gridCol w:w="6336"/>
      </w:tblGrid>
      <w:tr>
        <w:tc>
          <w:tcPr>
            <w:tcW w:type="dxa" w:w="5378"/>
          </w:tcPr>
          <w:p>
            <w:pPr>
              <w:jc w:val="left"/>
            </w:pPr>
            <w:r/>
            <w:r>
              <w:drawing>
                <wp:inline xmlns:a="http://schemas.openxmlformats.org/drawingml/2006/main" xmlns:pic="http://schemas.openxmlformats.org/drawingml/2006/picture">
                  <wp:extent cx="1524000" cy="566928"/>
                  <wp:docPr id="4" name="Picture 4"/>
                  <wp:cNvGraphicFramePr>
                    <a:graphicFrameLocks noChangeAspect="1"/>
                  </wp:cNvGraphicFramePr>
                  <a:graphic>
                    <a:graphicData uri="http://schemas.openxmlformats.org/drawingml/2006/picture">
                      <pic:pic>
                        <pic:nvPicPr>
                          <pic:cNvPr id="0" name="MIMOS_Solutions_LOGO_from_PO.png"/>
                          <pic:cNvPicPr/>
                        </pic:nvPicPr>
                        <pic:blipFill>
                          <a:blip r:embed="rId9"/>
                          <a:stretch>
                            <a:fillRect/>
                          </a:stretch>
                        </pic:blipFill>
                        <pic:spPr>
                          <a:xfrm>
                            <a:off x="0" y="0"/>
                            <a:ext cx="1524000" cy="566928"/>
                          </a:xfrm>
                          <a:prstGeom prst="rect"/>
                        </pic:spPr>
                      </pic:pic>
                    </a:graphicData>
                  </a:graphic>
                </wp:inline>
              </w:drawing>
            </w:r>
          </w:p>
          <w:p>
            <w:pPr>
              <w:spacing w:after="0" w:before="0"/>
            </w:pPr>
            <w:r>
              <w:rPr>
                <w:rFonts w:ascii="Helvetica" w:hAnsi="Helvetica"/>
                <w:b/>
                <w:i w:val="0"/>
                <w:sz w:val="16"/>
              </w:rPr>
              <w:t>MIMOS SOLUTIONS SDN. BHD.</w:t>
            </w:r>
          </w:p>
          <w:p>
            <w:pPr>
              <w:spacing w:after="0" w:before="0"/>
            </w:pPr>
            <w:r>
              <w:rPr>
                <w:rFonts w:ascii="Helvetica" w:hAnsi="Helvetica"/>
                <w:b/>
                <w:i w:val="0"/>
                <w:sz w:val="16"/>
              </w:rPr>
              <w:t>201101029324 (957459-K)</w:t>
            </w:r>
          </w:p>
          <w:p>
            <w:pPr>
              <w:spacing w:after="0" w:before="0"/>
            </w:pPr>
            <w:r>
              <w:rPr>
                <w:rFonts w:ascii="Helvetica" w:hAnsi="Helvetica"/>
                <w:b w:val="0"/>
                <w:i w:val="0"/>
                <w:sz w:val="16"/>
              </w:rPr>
              <w:t>SST No. : W10-1808-32000747</w:t>
            </w:r>
          </w:p>
          <w:p>
            <w:pPr>
              <w:spacing w:after="0" w:before="0"/>
            </w:pPr>
            <w:r>
              <w:rPr>
                <w:rFonts w:ascii="Helvetica" w:hAnsi="Helvetica"/>
                <w:b w:val="0"/>
                <w:i w:val="0"/>
                <w:sz w:val="16"/>
              </w:rPr>
              <w:t>Technology Park Malaysia</w:t>
            </w:r>
          </w:p>
          <w:p>
            <w:pPr>
              <w:spacing w:after="0" w:before="0"/>
            </w:pPr>
            <w:r>
              <w:rPr>
                <w:rFonts w:ascii="Helvetica" w:hAnsi="Helvetica"/>
                <w:b w:val="0"/>
                <w:i w:val="0"/>
                <w:sz w:val="16"/>
              </w:rPr>
              <w:t>57000 Kuala Lumpur</w:t>
            </w:r>
          </w:p>
          <w:p>
            <w:pPr>
              <w:spacing w:after="0" w:before="0"/>
            </w:pPr>
            <w:r>
              <w:rPr>
                <w:rFonts w:ascii="Helvetica" w:hAnsi="Helvetica"/>
                <w:b w:val="0"/>
                <w:i w:val="0"/>
                <w:sz w:val="16"/>
              </w:rPr>
              <w:t>Malaysia</w:t>
            </w:r>
          </w:p>
          <w:p>
            <w:pPr>
              <w:spacing w:after="0" w:before="0"/>
            </w:pPr>
            <w:r>
              <w:rPr>
                <w:rFonts w:ascii="Helvetica" w:hAnsi="Helvetica"/>
                <w:b w:val="0"/>
                <w:i/>
                <w:sz w:val="8"/>
              </w:rPr>
              <w:t>(formerly known as MIMOS Technology Solutions Sdn. Bhd.)</w:t>
            </w:r>
          </w:p>
          <w:p>
            <w:pPr>
              <w:spacing w:after="0" w:before="0"/>
            </w:pPr>
            <w:r>
              <w:rPr>
                <w:rFonts w:ascii="Helvetica" w:hAnsi="Helvetica"/>
                <w:b w:val="0"/>
                <w:i w:val="0"/>
                <w:sz w:val="16"/>
              </w:rPr>
              <w:t>Tel  No:+60 3 8995 5000</w:t>
            </w:r>
          </w:p>
          <w:p>
            <w:pPr>
              <w:spacing w:after="0" w:before="0"/>
            </w:pPr>
            <w:r>
              <w:rPr>
                <w:rFonts w:ascii="Helvetica" w:hAnsi="Helvetica"/>
                <w:b w:val="0"/>
                <w:i w:val="0"/>
                <w:sz w:val="16"/>
              </w:rPr>
              <w:t>http://www.mimossolutions.my</w:t>
            </w:r>
          </w:p>
        </w:tc>
        <w:tc>
          <w:tcPr>
            <w:tcW w:type="dxa" w:w="5378"/>
          </w:tcPr>
          <w:p>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2"/>
              <w:gridCol w:w="2102"/>
              <w:gridCol w:w="2102"/>
            </w:tblGrid>
            <w:tr>
              <w:tc>
                <w:tcPr>
                  <w:tcW w:type="dxa" w:w="5379"/>
                  <w:gridSpan w:val="3"/>
                </w:tcPr>
                <w:p>
                  <w:pPr>
                    <w:jc w:val="center"/>
                  </w:pPr>
                  <w:r/>
                  <w:r>
                    <w:drawing>
                      <wp:inline xmlns:a="http://schemas.openxmlformats.org/drawingml/2006/main" xmlns:pic="http://schemas.openxmlformats.org/drawingml/2006/picture">
                        <wp:extent cx="3200400" cy="171773"/>
                        <wp:docPr id="5" name="Picture 5"/>
                        <wp:cNvGraphicFramePr>
                          <a:graphicFrameLocks noChangeAspect="1"/>
                        </wp:cNvGraphicFramePr>
                        <a:graphic>
                          <a:graphicData uri="http://schemas.openxmlformats.org/drawingml/2006/picture">
                            <pic:pic>
                              <pic:nvPicPr>
                                <pic:cNvPr id="0" name="pixmap_19.png"/>
                                <pic:cNvPicPr/>
                              </pic:nvPicPr>
                              <pic:blipFill>
                                <a:blip r:embed="rId10"/>
                                <a:stretch>
                                  <a:fillRect/>
                                </a:stretch>
                              </pic:blipFill>
                              <pic:spPr>
                                <a:xfrm>
                                  <a:off x="0" y="0"/>
                                  <a:ext cx="3200400" cy="171773"/>
                                </a:xfrm>
                                <a:prstGeom prst="rect"/>
                              </pic:spPr>
                            </pic:pic>
                          </a:graphicData>
                        </a:graphic>
                      </wp:inline>
                    </w:drawing>
                  </w:r>
                </w:p>
              </w:tc>
            </w:tr>
            <w:tr>
              <w:tc>
                <w:tcPr>
                  <w:tcW w:type="dxa" w:w="1793"/>
                </w:tcPr>
                <w:p>
                  <w:pPr>
                    <w:spacing w:after="0" w:before="0" w:line="240" w:lineRule="auto"/>
                    <w:jc w:val="left"/>
                  </w:pPr>
                  <w:r>
                    <w:rPr>
                      <w:rFonts w:ascii="Helvetica" w:hAnsi="Helvetica"/>
                      <w:b w:val="0"/>
                      <w:i w:val="0"/>
                      <w:sz w:val="16"/>
                    </w:rPr>
                    <w:t>Purchase Order No.</w:t>
                  </w:r>
                </w:p>
              </w:tc>
              <w:tc>
                <w:tcPr>
                  <w:tcW w:type="dxa" w:w="1793"/>
                </w:tcPr>
                <w:p>
                  <w:pPr>
                    <w:spacing w:after="0" w:before="0" w:line="240" w:lineRule="auto"/>
                    <w:jc w:val="left"/>
                  </w:pPr>
                  <w:r>
                    <w:rPr>
                      <w:rFonts w:ascii="Helvetica" w:hAnsi="Helvetica"/>
                      <w:b w:val="0"/>
                      <w:i w:val="0"/>
                      <w:sz w:val="16"/>
                    </w:rPr>
                    <w:t>Purchase Order</w:t>
                  </w:r>
                </w:p>
              </w:tc>
              <w:tc>
                <w:tcPr>
                  <w:tcW w:type="dxa" w:w="1793"/>
                </w:tcPr>
                <w:p>
                  <w:pPr>
                    <w:spacing w:after="0" w:before="0" w:line="240" w:lineRule="auto"/>
                    <w:jc w:val="left"/>
                  </w:pPr>
                  <w:r>
                    <w:rPr>
                      <w:rFonts w:ascii="Helvetica" w:hAnsi="Helvetica"/>
                      <w:b w:val="0"/>
                      <w:i w:val="0"/>
                      <w:sz w:val="16"/>
                    </w:rPr>
                    <w:t>Order Date</w:t>
                  </w:r>
                </w:p>
              </w:tc>
            </w:tr>
            <w:tr>
              <w:tc>
                <w:tcPr>
                  <w:tcW w:type="dxa" w:w="1793"/>
                </w:tcPr>
                <w:p>
                  <w:pPr>
                    <w:spacing w:after="0" w:before="0" w:line="240" w:lineRule="auto"/>
                    <w:jc w:val="left"/>
                  </w:pPr>
                  <w:r>
                    <w:rPr>
                      <w:rFonts w:ascii="Courier" w:hAnsi="Courier"/>
                      <w:b w:val="0"/>
                      <w:i w:val="0"/>
                      <w:sz w:val="18"/>
                    </w:rPr>
                    <w:t>7000000306</w:t>
                  </w:r>
                </w:p>
              </w:tc>
              <w:tc>
                <w:tcPr>
                  <w:tcW w:type="dxa" w:w="1793"/>
                </w:tcPr>
                <w:p>
                  <w:pPr>
                    <w:spacing w:after="0" w:before="0" w:line="240" w:lineRule="auto"/>
                    <w:jc w:val="left"/>
                  </w:pPr>
                  <w:r>
                    <w:rPr>
                      <w:rFonts w:ascii="Courier" w:hAnsi="Courier"/>
                      <w:b w:val="0"/>
                      <w:i w:val="0"/>
                      <w:sz w:val="18"/>
                    </w:rPr>
                    <w:t>N/A</w:t>
                  </w:r>
                </w:p>
              </w:tc>
              <w:tc>
                <w:tcPr>
                  <w:tcW w:type="dxa" w:w="1793"/>
                </w:tcPr>
                <w:p>
                  <w:pPr>
                    <w:spacing w:after="0" w:before="0" w:line="240" w:lineRule="auto"/>
                    <w:jc w:val="left"/>
                  </w:pPr>
                  <w:r>
                    <w:rPr>
                      <w:rFonts w:ascii="Courier" w:hAnsi="Courier"/>
                      <w:b w:val="0"/>
                      <w:i w:val="0"/>
                      <w:sz w:val="18"/>
                    </w:rPr>
                    <w:t>25.05.2026</w:t>
                  </w:r>
                </w:p>
              </w:tc>
            </w:tr>
            <w:tr>
              <w:tc>
                <w:tcPr>
                  <w:tcW w:type="dxa" w:w="1793"/>
                </w:tcPr>
                <w:p>
                  <w:pPr>
                    <w:spacing w:after="0" w:before="0" w:line="240" w:lineRule="auto"/>
                    <w:jc w:val="left"/>
                  </w:pPr>
                  <w:r>
                    <w:rPr>
                      <w:rFonts w:ascii="Helvetica" w:hAnsi="Helvetica"/>
                      <w:b w:val="0"/>
                      <w:i w:val="0"/>
                      <w:sz w:val="16"/>
                    </w:rPr>
                    <w:t>Contract No.</w:t>
                  </w:r>
                </w:p>
              </w:tc>
              <w:tc>
                <w:tcPr>
                  <w:tcW w:type="dxa" w:w="1793"/>
                </w:tcPr>
                <w:p>
                  <w:pPr>
                    <w:spacing w:after="0" w:before="0" w:line="240" w:lineRule="auto"/>
                    <w:jc w:val="left"/>
                  </w:pPr>
                  <w:r>
                    <w:rPr>
                      <w:rFonts w:ascii="Helvetica" w:hAnsi="Helvetica"/>
                      <w:b w:val="0"/>
                      <w:i w:val="0"/>
                      <w:sz w:val="16"/>
                    </w:rPr>
                    <w:t>Revision No.</w:t>
                  </w:r>
                </w:p>
              </w:tc>
              <w:tc>
                <w:tcPr>
                  <w:tcW w:type="dxa" w:w="1793"/>
                </w:tcPr>
                <w:p>
                  <w:pPr>
                    <w:spacing w:after="0" w:before="0" w:line="240" w:lineRule="auto"/>
                    <w:jc w:val="left"/>
                  </w:pPr>
                  <w:r>
                    <w:rPr>
                      <w:rFonts w:ascii="Helvetica" w:hAnsi="Helvetica"/>
                      <w:b w:val="0"/>
                      <w:i w:val="0"/>
                      <w:sz w:val="16"/>
                    </w:rPr>
                    <w:t>Page No</w:t>
                  </w:r>
                </w:p>
              </w:tc>
            </w:tr>
            <w:tr>
              <w:tc>
                <w:tcPr>
                  <w:tcW w:type="dxa" w:w="1793"/>
                </w:tcPr>
                <w:p>
                  <w:pPr>
                    <w:spacing w:after="0" w:before="0" w:line="240" w:lineRule="auto"/>
                    <w:jc w:val="left"/>
                  </w:pPr>
                  <w:r>
                    <w:rPr>
                      <w:rFonts w:ascii="Courier" w:hAnsi="Courier"/>
                      <w:b w:val="0"/>
                      <w:i w:val="0"/>
                      <w:sz w:val="18"/>
                    </w:rPr>
                    <w:t>N/A</w:t>
                  </w:r>
                </w:p>
              </w:tc>
              <w:tc>
                <w:tcPr>
                  <w:tcW w:type="dxa" w:w="1793"/>
                </w:tcPr>
                <w:p>
                  <w:pPr>
                    <w:spacing w:after="0" w:before="0" w:line="240" w:lineRule="auto"/>
                    <w:jc w:val="left"/>
                  </w:pPr>
                  <w:r>
                    <w:rPr>
                      <w:rFonts w:ascii="Courier" w:hAnsi="Courier"/>
                      <w:b w:val="0"/>
                      <w:i w:val="0"/>
                      <w:sz w:val="18"/>
                    </w:rPr>
                    <w:t>N/A</w:t>
                  </w:r>
                </w:p>
              </w:tc>
              <w:tc>
                <w:tcPr>
                  <w:tcW w:type="dxa" w:w="1793"/>
                </w:tcPr>
                <w:p>
                  <w:pPr>
                    <w:spacing w:after="0" w:before="0" w:line="240" w:lineRule="auto"/>
                    <w:jc w:val="left"/>
                  </w:pPr>
                  <w:r>
                    <w:rPr>
                      <w:rFonts w:ascii="Courier" w:hAnsi="Courier"/>
                      <w:b w:val="0"/>
                      <w:i w:val="0"/>
                      <w:sz w:val="18"/>
                    </w:rPr>
                    <w:t>2/02</w:t>
                  </w:r>
                </w:p>
              </w:tc>
            </w:tr>
          </w:tbl>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32"/>
        <w:gridCol w:w="2880"/>
        <w:gridCol w:w="2160"/>
      </w:tblGrid>
      <w:tr>
        <w:tc>
          <w:tcPr>
            <w:tcW w:type="dxa" w:w="3586"/>
          </w:tcPr>
          <w:p>
            <w:pPr>
              <w:spacing w:after="0" w:before="0" w:line="240" w:lineRule="auto"/>
              <w:jc w:val="left"/>
            </w:pPr>
            <w:r>
              <w:rPr>
                <w:rFonts w:ascii="Helvetica" w:hAnsi="Helvetica"/>
                <w:b w:val="0"/>
                <w:i w:val="0"/>
                <w:sz w:val="16"/>
              </w:rPr>
              <w:t>Supplier</w:t>
            </w:r>
          </w:p>
        </w:tc>
        <w:tc>
          <w:tcPr>
            <w:tcW w:type="dxa" w:w="3586"/>
          </w:tcPr>
          <w:p>
            <w:pPr>
              <w:spacing w:after="0" w:before="0" w:line="240" w:lineRule="auto"/>
              <w:jc w:val="left"/>
            </w:pPr>
            <w:r>
              <w:rPr>
                <w:rFonts w:ascii="Helvetica" w:hAnsi="Helvetica"/>
                <w:b w:val="0"/>
                <w:i w:val="0"/>
                <w:sz w:val="16"/>
              </w:rPr>
              <w:t>Deliver To</w:t>
            </w:r>
          </w:p>
        </w:tc>
        <w:tc>
          <w:tcPr>
            <w:tcW w:type="dxa" w:w="3586"/>
          </w:tcPr>
          <w:p>
            <w:pPr>
              <w:spacing w:after="0" w:before="0" w:line="240" w:lineRule="auto"/>
              <w:jc w:val="left"/>
            </w:pPr>
            <w:r>
              <w:rPr>
                <w:rFonts w:ascii="Helvetica" w:hAnsi="Helvetica"/>
                <w:b w:val="0"/>
                <w:i w:val="0"/>
                <w:sz w:val="16"/>
              </w:rPr>
              <w:t>Expected Delivery</w:t>
            </w:r>
          </w:p>
        </w:tc>
      </w:tr>
      <w:tr>
        <w:tc>
          <w:tcPr>
            <w:tcW w:type="dxa" w:w="3586"/>
          </w:tcPr>
          <w:p>
            <w:pPr>
              <w:spacing w:after="0" w:before="0" w:line="240" w:lineRule="auto"/>
              <w:jc w:val="left"/>
            </w:pPr>
            <w:r>
              <w:rPr>
                <w:rFonts w:ascii="Courier" w:hAnsi="Courier"/>
                <w:b w:val="0"/>
                <w:i w:val="0"/>
                <w:sz w:val="16"/>
              </w:rPr>
              <w:t>MIMOS SERVICES SDN BHD</w:t>
              <w:br/>
              <w:t>SST No. : W10-1808-21023186</w:t>
              <w:br/>
              <w:t>MIMOS Berhad,</w:t>
              <w:br/>
              <w:t>Taman Teknologi Malaysia,</w:t>
              <w:br/>
              <w:t>57000 Kuala Lumpur</w:t>
              <w:br/>
              <w:t>Kuala Lumpur</w:t>
              <w:br/>
              <w:t>Malaysia</w:t>
            </w:r>
          </w:p>
        </w:tc>
        <w:tc>
          <w:tcPr>
            <w:tcW w:type="dxa" w:w="3586"/>
          </w:tcPr>
          <w:p>
            <w:pPr>
              <w:spacing w:after="0" w:before="0" w:line="240" w:lineRule="auto"/>
              <w:jc w:val="left"/>
            </w:pPr>
            <w:r>
              <w:rPr>
                <w:rFonts w:ascii="Courier" w:hAnsi="Courier"/>
                <w:b w:val="0"/>
                <w:i w:val="0"/>
                <w:sz w:val="16"/>
              </w:rPr>
              <w:t>MIMOS Solutions Sdn Bhd</w:t>
              <w:br/>
              <w:t>Technology Park Malaysia</w:t>
              <w:br/>
              <w:t>57000 Kuala Lumpur.</w:t>
            </w:r>
          </w:p>
        </w:tc>
        <w:tc>
          <w:tcPr>
            <w:tcW w:type="dxa" w:w="3586"/>
          </w:tcPr>
          <w:p>
            <w:pPr>
              <w:spacing w:after="0" w:before="0" w:line="240" w:lineRule="auto"/>
              <w:jc w:val="left"/>
            </w:pPr>
            <w:r>
              <w:rPr>
                <w:rFonts w:ascii="Courier" w:hAnsi="Courier"/>
                <w:b w:val="0"/>
                <w:i w:val="0"/>
                <w:sz w:val="18"/>
              </w:rPr>
              <w:t>24.06.2026</w:t>
            </w:r>
          </w:p>
        </w:tc>
      </w:tr>
    </w:tbl>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32"/>
        <w:gridCol w:w="2880"/>
        <w:gridCol w:w="2160"/>
      </w:tblGrid>
      <w:tr>
        <w:tc>
          <w:tcPr>
            <w:tcW w:type="dxa" w:w="3586"/>
          </w:tcPr>
          <w:p>
            <w:r/>
            <w:r>
              <w:rPr>
                <w:rFonts w:ascii="Helvetica" w:hAnsi="Helvetica"/>
                <w:sz w:val="16"/>
              </w:rPr>
              <w:t>Attn To:</w:t>
              <w:br/>
            </w:r>
            <w:r>
              <w:rPr>
                <w:rFonts w:ascii="Courier" w:hAnsi="Courier"/>
                <w:sz w:val="16"/>
              </w:rPr>
              <w:t>Mohamad Fauzi</w:t>
            </w:r>
          </w:p>
        </w:tc>
        <w:tc>
          <w:tcPr>
            <w:tcW w:type="dxa" w:w="3586"/>
          </w:tcPr>
          <w:p>
            <w:pPr>
              <w:spacing w:after="0" w:before="0" w:line="240" w:lineRule="auto"/>
              <w:jc w:val="left"/>
            </w:pPr>
            <w:r>
              <w:rPr>
                <w:rFonts w:ascii="Helvetica" w:hAnsi="Helvetica"/>
                <w:b w:val="0"/>
                <w:i w:val="0"/>
                <w:sz w:val="16"/>
              </w:rPr>
              <w:t>Attn to (Requestor)</w:t>
              <w:br/>
              <w:t>Saszwani</w:t>
            </w:r>
          </w:p>
        </w:tc>
        <w:tc>
          <w:tcPr>
            <w:tcW w:type="dxa" w:w="3586"/>
          </w:tcPr>
          <w:p>
            <w:pPr>
              <w:spacing w:after="0" w:before="0" w:line="240" w:lineRule="auto"/>
              <w:jc w:val="left"/>
            </w:pPr>
            <w:r>
              <w:rPr>
                <w:rFonts w:ascii="Helvetica" w:hAnsi="Helvetica"/>
                <w:b w:val="0"/>
                <w:i w:val="0"/>
                <w:sz w:val="16"/>
              </w:rPr>
              <w:t>Tel. or Ext. no.</w:t>
              <w:br/>
              <w:t>-</w:t>
            </w:r>
          </w:p>
        </w:tc>
      </w:tr>
      <w:tr>
        <w:tc>
          <w:tcPr>
            <w:tcW w:type="dxa" w:w="3586"/>
          </w:tcPr>
          <w:p>
            <w:pPr>
              <w:spacing w:after="0" w:before="0" w:line="240" w:lineRule="auto"/>
              <w:jc w:val="left"/>
            </w:pPr>
            <w:r>
              <w:rPr>
                <w:rFonts w:ascii="Helvetica" w:hAnsi="Helvetica"/>
                <w:b w:val="0"/>
                <w:i w:val="0"/>
                <w:sz w:val="16"/>
              </w:rPr>
              <w:t>Vendor No</w:t>
              <w:br/>
              <w:t>20009041</w:t>
            </w:r>
          </w:p>
        </w:tc>
        <w:tc>
          <w:tcPr>
            <w:tcW w:type="dxa" w:w="3586"/>
          </w:tcPr>
          <w:p>
            <w:pPr>
              <w:spacing w:after="0" w:before="0" w:line="240" w:lineRule="auto"/>
              <w:jc w:val="left"/>
            </w:pPr>
            <w:r>
              <w:rPr>
                <w:rFonts w:ascii="Helvetica" w:hAnsi="Helvetica"/>
                <w:b w:val="0"/>
                <w:i w:val="0"/>
                <w:sz w:val="16"/>
              </w:rPr>
              <w:t>Tel. No</w:t>
              <w:br/>
              <w:t>60389955000</w:t>
            </w:r>
          </w:p>
        </w:tc>
        <w:tc>
          <w:tcPr>
            <w:tcW w:type="dxa" w:w="3586"/>
          </w:tcPr>
          <w:p>
            <w:pPr>
              <w:spacing w:after="0" w:before="0" w:line="240" w:lineRule="auto"/>
              <w:jc w:val="left"/>
            </w:pPr>
            <w:r>
              <w:rPr>
                <w:rFonts w:ascii="Helvetica" w:hAnsi="Helvetica"/>
                <w:b w:val="0"/>
                <w:i w:val="0"/>
                <w:sz w:val="16"/>
              </w:rPr>
              <w:t>Fax No</w:t>
            </w:r>
          </w:p>
        </w:tc>
      </w:tr>
      <w:tr>
        <w:tc>
          <w:tcPr>
            <w:tcW w:type="dxa" w:w="3586"/>
          </w:tcPr>
          <w:p>
            <w:pPr>
              <w:spacing w:after="0" w:before="0" w:line="240" w:lineRule="auto"/>
              <w:jc w:val="left"/>
            </w:pPr>
            <w:r>
              <w:rPr>
                <w:rFonts w:ascii="Helvetica" w:hAnsi="Helvetica"/>
                <w:b w:val="0"/>
                <w:i w:val="0"/>
                <w:sz w:val="16"/>
              </w:rPr>
              <w:t>Delivery Terms</w:t>
              <w:br/>
              <w:t>Service Completion at MIMOS Solutions</w:t>
            </w:r>
          </w:p>
        </w:tc>
        <w:tc>
          <w:tcPr>
            <w:tcW w:type="dxa" w:w="3586"/>
          </w:tcPr>
          <w:p>
            <w:pPr>
              <w:spacing w:after="0" w:before="0" w:line="240" w:lineRule="auto"/>
              <w:jc w:val="left"/>
            </w:pPr>
            <w:r>
              <w:rPr>
                <w:rFonts w:ascii="Helvetica" w:hAnsi="Helvetica"/>
                <w:b w:val="0"/>
                <w:i w:val="0"/>
                <w:sz w:val="16"/>
              </w:rPr>
              <w:t>Payment Terms</w:t>
              <w:br/>
              <w:t>30 Days Net After Receipt of Undisputed</w:t>
              <w:br/>
              <w:t>Invoice</w:t>
            </w:r>
          </w:p>
        </w:tc>
        <w:tc>
          <w:tcPr>
            <w:tcW w:type="dxa" w:w="3586"/>
          </w:tcPr>
          <w:p>
            <w:pPr>
              <w:spacing w:after="0" w:before="0" w:line="240" w:lineRule="auto"/>
              <w:jc w:val="left"/>
            </w:pPr>
            <w:r>
              <w:rPr>
                <w:rFonts w:ascii="Helvetica" w:hAnsi="Helvetica"/>
                <w:b w:val="0"/>
                <w:i w:val="0"/>
                <w:sz w:val="16"/>
              </w:rPr>
              <w:t>Expected Delivery</w:t>
              <w:br/>
              <w:t>24.06.2026</w:t>
              <w:br/>
              <w:t>Completion Work</w:t>
              <w:br/>
              <w:t>24.06.2026</w:t>
            </w:r>
          </w:p>
        </w:tc>
      </w:tr>
    </w:tbl>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3168"/>
        <w:gridCol w:w="3888"/>
      </w:tblGrid>
      <w:tr>
        <w:tc>
          <w:tcPr>
            <w:tcW w:type="dxa" w:w="3586"/>
          </w:tcPr>
          <w:p>
            <w:pPr>
              <w:spacing w:after="0" w:before="0" w:line="240" w:lineRule="auto"/>
              <w:jc w:val="left"/>
            </w:pPr>
            <w:r>
              <w:rPr>
                <w:rFonts w:ascii="Helvetica" w:hAnsi="Helvetica"/>
                <w:b w:val="0"/>
                <w:i w:val="0"/>
                <w:sz w:val="16"/>
              </w:rPr>
              <w:t>Purchase Requisition(PR) No.</w:t>
            </w:r>
          </w:p>
        </w:tc>
        <w:tc>
          <w:tcPr>
            <w:tcW w:type="dxa" w:w="3586"/>
          </w:tcPr>
          <w:p>
            <w:pPr>
              <w:spacing w:after="0" w:before="0" w:line="240" w:lineRule="auto"/>
              <w:jc w:val="left"/>
            </w:pPr>
            <w:r>
              <w:rPr>
                <w:rFonts w:ascii="Helvetica" w:hAnsi="Helvetica"/>
                <w:b w:val="0"/>
                <w:i w:val="0"/>
                <w:sz w:val="16"/>
              </w:rPr>
              <w:t>Buyers Ref /  Tel. or Ext No.</w:t>
            </w:r>
          </w:p>
        </w:tc>
        <w:tc>
          <w:tcPr>
            <w:tcW w:type="dxa" w:w="3586"/>
          </w:tcPr>
          <w:p>
            <w:pPr>
              <w:spacing w:after="0" w:before="0" w:line="240" w:lineRule="auto"/>
              <w:jc w:val="left"/>
            </w:pPr>
            <w:r>
              <w:rPr>
                <w:rFonts w:ascii="Helvetica" w:hAnsi="Helvetica"/>
                <w:b w:val="0"/>
                <w:i w:val="0"/>
                <w:sz w:val="16"/>
              </w:rPr>
              <w:t>Refer to RFQ / ESS / SebutHarga / Tender No</w:t>
            </w:r>
          </w:p>
        </w:tc>
      </w:tr>
      <w:tr>
        <w:tc>
          <w:tcPr>
            <w:tcW w:type="dxa" w:w="3586"/>
          </w:tcPr>
          <w:p>
            <w:pPr>
              <w:spacing w:after="0" w:before="0" w:line="240" w:lineRule="auto"/>
              <w:jc w:val="left"/>
            </w:pPr>
            <w:r>
              <w:rPr>
                <w:rFonts w:ascii="Courier" w:hAnsi="Courier"/>
                <w:b w:val="0"/>
                <w:i w:val="0"/>
                <w:sz w:val="18"/>
              </w:rPr>
              <w:t>6000000481</w:t>
            </w:r>
          </w:p>
        </w:tc>
        <w:tc>
          <w:tcPr>
            <w:tcW w:type="dxa" w:w="3586"/>
          </w:tcPr>
          <w:p>
            <w:pPr>
              <w:spacing w:after="0" w:before="0" w:line="240" w:lineRule="auto"/>
              <w:jc w:val="left"/>
            </w:pPr>
            <w:r>
              <w:rPr>
                <w:rFonts w:ascii="Courier" w:hAnsi="Courier"/>
                <w:b w:val="0"/>
                <w:i w:val="0"/>
                <w:sz w:val="18"/>
              </w:rPr>
              <w:t>MiTecSolu Proc.Dep / 56009/55923</w:t>
            </w:r>
          </w:p>
        </w:tc>
        <w:tc>
          <w:tcPr>
            <w:tcW w:type="dxa" w:w="3586"/>
          </w:tcPr>
          <w:p>
            <w:pPr>
              <w:spacing w:after="0" w:before="0" w:line="240" w:lineRule="auto"/>
              <w:jc w:val="left"/>
            </w:pPr>
            <w:r>
              <w:rPr>
                <w:rFonts w:ascii="Courier" w:hAnsi="Courier"/>
                <w:b w:val="0"/>
                <w:i w:val="0"/>
                <w:sz w:val="18"/>
              </w:rPr>
              <w:t>34512</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3175"/>
        <w:gridCol w:w="1644"/>
        <w:gridCol w:w="567"/>
        <w:gridCol w:w="624"/>
        <w:gridCol w:w="680"/>
        <w:gridCol w:w="1191"/>
        <w:gridCol w:w="2211"/>
      </w:tblGrid>
      <w:tr>
        <w:tc>
          <w:tcPr>
            <w:tcW w:type="dxa" w:w="1345"/>
          </w:tcPr>
          <w:p>
            <w:pPr>
              <w:spacing w:after="0" w:before="0" w:line="240" w:lineRule="auto"/>
              <w:jc w:val="center"/>
            </w:pPr>
            <w:r>
              <w:rPr>
                <w:rFonts w:ascii="Helvetica" w:hAnsi="Helvetica"/>
                <w:b w:val="0"/>
                <w:i w:val="0"/>
                <w:sz w:val="16"/>
              </w:rPr>
              <w:t>Item No</w:t>
            </w:r>
          </w:p>
        </w:tc>
        <w:tc>
          <w:tcPr>
            <w:tcW w:type="dxa" w:w="1345"/>
          </w:tcPr>
          <w:p>
            <w:pPr>
              <w:spacing w:after="0" w:before="0" w:line="240" w:lineRule="auto"/>
              <w:jc w:val="center"/>
            </w:pPr>
            <w:r>
              <w:rPr>
                <w:rFonts w:ascii="Helvetica" w:hAnsi="Helvetica"/>
                <w:b w:val="0"/>
                <w:i w:val="0"/>
                <w:sz w:val="16"/>
              </w:rPr>
              <w:t>Description of Goods and/or Services</w:t>
            </w:r>
          </w:p>
        </w:tc>
        <w:tc>
          <w:tcPr>
            <w:tcW w:type="dxa" w:w="1345"/>
          </w:tcPr>
          <w:p>
            <w:pPr>
              <w:spacing w:after="0" w:before="0" w:line="240" w:lineRule="auto"/>
              <w:jc w:val="center"/>
            </w:pPr>
            <w:r>
              <w:rPr>
                <w:rFonts w:ascii="Helvetica" w:hAnsi="Helvetica"/>
                <w:b w:val="0"/>
                <w:i w:val="0"/>
                <w:sz w:val="16"/>
              </w:rPr>
              <w:t>Quantity</w:t>
            </w:r>
          </w:p>
        </w:tc>
        <w:tc>
          <w:tcPr>
            <w:tcW w:type="dxa" w:w="1345"/>
          </w:tcPr>
          <w:p>
            <w:pPr>
              <w:spacing w:after="0" w:before="0" w:line="240" w:lineRule="auto"/>
              <w:jc w:val="center"/>
            </w:pPr>
            <w:r>
              <w:rPr>
                <w:rFonts w:ascii="Helvetica" w:hAnsi="Helvetica"/>
                <w:b w:val="0"/>
                <w:i w:val="0"/>
                <w:sz w:val="16"/>
              </w:rPr>
              <w:t>Unit</w:t>
            </w:r>
          </w:p>
        </w:tc>
        <w:tc>
          <w:tcPr>
            <w:tcW w:type="dxa" w:w="1345"/>
          </w:tcPr>
          <w:p>
            <w:pPr>
              <w:spacing w:after="0" w:before="0" w:line="240" w:lineRule="auto"/>
              <w:jc w:val="center"/>
            </w:pPr>
            <w:r>
              <w:rPr>
                <w:rFonts w:ascii="Helvetica" w:hAnsi="Helvetica"/>
                <w:b w:val="0"/>
                <w:i w:val="0"/>
                <w:sz w:val="16"/>
              </w:rPr>
              <w:t>Per</w:t>
            </w:r>
          </w:p>
        </w:tc>
        <w:tc>
          <w:tcPr>
            <w:tcW w:type="dxa" w:w="2690"/>
            <w:gridSpan w:val="2"/>
          </w:tcPr>
          <w:p>
            <w:pPr>
              <w:spacing w:after="0" w:before="0" w:line="240" w:lineRule="auto"/>
              <w:jc w:val="center"/>
            </w:pPr>
            <w:r>
              <w:rPr>
                <w:rFonts w:ascii="Helvetica" w:hAnsi="Helvetica"/>
                <w:b w:val="0"/>
                <w:i w:val="0"/>
                <w:sz w:val="16"/>
              </w:rPr>
              <w:t>Unit Price</w:t>
              <w:br/>
              <w:t>(Currency MYR)</w:t>
            </w:r>
          </w:p>
          <w:p>
            <w:pPr>
              <w:spacing w:after="0" w:before="0" w:line="240" w:lineRule="auto"/>
              <w:jc w:val="center"/>
            </w:pPr>
            <w:r>
              <w:rPr>
                <w:rFonts w:ascii="Helvetica" w:hAnsi="Helvetica"/>
                <w:b w:val="0"/>
                <w:i w:val="0"/>
                <w:sz w:val="12"/>
              </w:rPr>
              <w:t>Unit Price P2</w:t>
            </w:r>
          </w:p>
        </w:tc>
        <w:tc>
          <w:tcPr>
            <w:tcW w:type="dxa" w:w="1345"/>
          </w:tcPr>
          <w:p>
            <w:pPr>
              <w:spacing w:after="0" w:before="0" w:line="240" w:lineRule="auto"/>
              <w:jc w:val="center"/>
            </w:pPr>
            <w:r>
              <w:rPr>
                <w:rFonts w:ascii="Helvetica" w:hAnsi="Helvetica"/>
                <w:b w:val="0"/>
                <w:i w:val="0"/>
                <w:sz w:val="16"/>
              </w:rPr>
              <w:t>Total Price</w:t>
              <w:br/>
              <w:t>(Currency MYR)</w:t>
            </w:r>
          </w:p>
        </w:tc>
      </w:tr>
      <w:tr>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r>
      <w:tr>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2690"/>
            <w:gridSpan w:val="2"/>
          </w:tcPr>
          <w:p>
            <w:pPr>
              <w:spacing w:after="0" w:before="0" w:line="240" w:lineRule="auto"/>
              <w:jc w:val="right"/>
            </w:pPr>
            <w:r>
              <w:rPr>
                <w:rFonts w:ascii="Courier" w:hAnsi="Courier"/>
                <w:b w:val="0"/>
                <w:i w:val="0"/>
                <w:sz w:val="18"/>
              </w:rPr>
              <w:t>Sub Total 5,000.00</w:t>
              <w:br/>
              <w:t>Service Tax 400.00</w:t>
              <w:br/>
              <w:t>Sales Tax 0.00</w:t>
            </w:r>
          </w:p>
        </w:tc>
      </w:tr>
      <w:tr>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4035"/>
            <w:gridSpan w:val="3"/>
          </w:tcPr>
          <w:p>
            <w:pPr>
              <w:spacing w:after="0" w:before="0" w:line="240" w:lineRule="auto"/>
              <w:jc w:val="left"/>
            </w:pPr>
            <w:r>
              <w:rPr>
                <w:rFonts w:ascii="Courier" w:hAnsi="Courier"/>
                <w:b w:val="0"/>
                <w:i w:val="0"/>
                <w:sz w:val="16"/>
              </w:rPr>
            </w:r>
          </w:p>
        </w:tc>
        <w:tc>
          <w:tcPr>
            <w:tcW w:type="dxa" w:w="2690"/>
            <w:gridSpan w:val="2"/>
          </w:tcPr>
          <w:p>
            <w:pPr>
              <w:spacing w:after="0" w:before="0" w:line="240" w:lineRule="auto"/>
              <w:jc w:val="right"/>
            </w:pPr>
            <w:r>
              <w:rPr>
                <w:rFonts w:ascii="Courier" w:hAnsi="Courier"/>
                <w:b/>
                <w:i w:val="0"/>
                <w:sz w:val="18"/>
              </w:rPr>
              <w:t>5,400.00</w:t>
            </w:r>
          </w:p>
        </w:tc>
      </w:tr>
      <w:tr>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1345"/>
          </w:tcPr>
          <w:p>
            <w:pPr>
              <w:spacing w:after="0" w:before="0" w:line="240" w:lineRule="auto"/>
              <w:jc w:val="left"/>
            </w:pPr>
            <w:r>
              <w:rPr>
                <w:rFonts w:ascii="Courier" w:hAnsi="Courier"/>
                <w:b w:val="0"/>
                <w:i w:val="0"/>
                <w:sz w:val="16"/>
              </w:rPr>
            </w:r>
          </w:p>
        </w:tc>
        <w:tc>
          <w:tcPr>
            <w:tcW w:type="dxa" w:w="4035"/>
            <w:gridSpan w:val="3"/>
          </w:tcPr>
          <w:p>
            <w:pPr>
              <w:spacing w:after="0" w:before="0" w:line="240" w:lineRule="auto"/>
              <w:jc w:val="center"/>
            </w:pPr>
            <w:r>
              <w:rPr>
                <w:rFonts w:ascii="Helvetica" w:hAnsi="Helvetica"/>
                <w:b w:val="0"/>
                <w:i w:val="0"/>
                <w:sz w:val="16"/>
              </w:rPr>
              <w:t>Checked by Buyer</w:t>
              <w:br/>
              <w:t>ROSSIDAWATI MANSOR</w:t>
            </w:r>
          </w:p>
        </w:tc>
        <w:tc>
          <w:tcPr>
            <w:tcW w:type="dxa" w:w="2690"/>
            <w:gridSpan w:val="2"/>
          </w:tcPr>
          <w:p>
            <w:pPr>
              <w:spacing w:after="0" w:before="0" w:line="240" w:lineRule="auto"/>
              <w:jc w:val="center"/>
            </w:pPr>
            <w:r>
              <w:rPr>
                <w:rFonts w:ascii="Helvetica" w:hAnsi="Helvetica"/>
                <w:b w:val="0"/>
                <w:i w:val="0"/>
                <w:sz w:val="16"/>
              </w:rPr>
              <w:t>Approved By</w:t>
              <w:br/>
              <w:t>WAN MUHAMMAD WAN UMAR</w:t>
              <w:br/>
              <w:t>Head of Procurement</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378"/>
          </w:tcPr>
          <w:p>
            <w:pPr>
              <w:spacing w:after="0" w:before="0" w:line="240" w:lineRule="auto"/>
              <w:jc w:val="center"/>
            </w:pPr>
            <w:r>
              <w:rPr>
                <w:rFonts w:ascii="Helvetica" w:hAnsi="Helvetica"/>
                <w:b w:val="0"/>
                <w:i w:val="0"/>
                <w:sz w:val="16"/>
              </w:rPr>
              <w:t>Checked by Buyer</w:t>
            </w:r>
          </w:p>
        </w:tc>
        <w:tc>
          <w:tcPr>
            <w:tcW w:type="dxa" w:w="5378"/>
          </w:tcPr>
          <w:p>
            <w:pPr>
              <w:spacing w:after="0" w:before="0" w:line="240" w:lineRule="auto"/>
              <w:jc w:val="center"/>
            </w:pPr>
            <w:r>
              <w:rPr>
                <w:rFonts w:ascii="Helvetica" w:hAnsi="Helvetica"/>
                <w:b w:val="0"/>
                <w:i w:val="0"/>
                <w:sz w:val="16"/>
              </w:rPr>
              <w:t>Approved By</w:t>
            </w:r>
          </w:p>
        </w:tc>
      </w:tr>
      <w:tr>
        <w:tc>
          <w:tcPr>
            <w:tcW w:type="dxa" w:w="5378"/>
          </w:tcPr>
          <w:p>
            <w:pPr>
              <w:spacing w:after="0" w:before="0" w:line="240" w:lineRule="auto"/>
              <w:jc w:val="center"/>
            </w:pPr>
            <w:r>
              <w:rPr>
                <w:rFonts w:ascii="Courier" w:hAnsi="Courier"/>
                <w:b w:val="0"/>
                <w:i w:val="0"/>
                <w:sz w:val="18"/>
              </w:rPr>
              <w:t>ROSSIDAWATI MANSOR</w:t>
            </w:r>
          </w:p>
        </w:tc>
        <w:tc>
          <w:tcPr>
            <w:tcW w:type="dxa" w:w="5378"/>
          </w:tcPr>
          <w:p>
            <w:pPr>
              <w:spacing w:after="0" w:before="0" w:line="240" w:lineRule="auto"/>
              <w:jc w:val="center"/>
            </w:pPr>
            <w:r>
              <w:rPr>
                <w:rFonts w:ascii="Courier" w:hAnsi="Courier"/>
                <w:b w:val="0"/>
                <w:i w:val="0"/>
                <w:sz w:val="18"/>
              </w:rPr>
              <w:t>WAN MUHAMMAD WAN UMAR</w:t>
              <w:br/>
              <w:t>Head of Procurement</w:t>
            </w:r>
          </w:p>
        </w:tc>
      </w:tr>
    </w:tbl>
    <w:p>
      <w:r>
        <w:rPr>
          <w:rFonts w:ascii="Courier" w:hAnsi="Courier"/>
          <w:sz w:val="14"/>
        </w:rPr>
        <w:t>1. ACKNOWLEDGEMENT COPY.</w:t>
        <w:br/>
        <w:t>MIMOS Group of Companies (MIMOS) requires acknowledgment and ot this purchase order (PO) via email within three (3) working days for acceptance/rejection MIMOS' offer. However, in the event Supplier fails to provide MIMOS with a email acknowledgement within three (3) working days ARO and fails to provide MIMOS with a email notice of rejections ofthe order or specific modification of a particular term &amp; condition within that three(3) working days, MIMOS and Supplier hereby agree that all prices and all the terms &amp; conditions as expressed herein and its attachment/appendices, if any, shall apply in full.</w:t>
        <w:br/>
        <w:t>2. RECIPIENT</w:t>
        <w:br/>
        <w:t>Copies of this purchase order (PO) will also be extended to Requestor,MIMOS' Group Finance and MIMOS' Group Procurement for their acknowledgment and filing purpose.</w:t>
        <w:br/>
        <w:t>3.COMPULSORY DOCUMENTS UPON SUBMISSION OF PAYMENT.</w:t>
        <w:br/>
        <w:t>You are required to attach this Purchase Order (PO) with the authorized personnel details, signature and company stamp together with the related supporting documents i.e. Delivery Order (DO) with serial numbers of goods delivered clearly indicated, Certificate of Completion and undisputed invoice to MIMOS Group Finance.</w:t>
        <w:br/>
        <w:t>4.This is a computer generated document and does not require a signature by MIMOS.</w:t>
      </w:r>
    </w:p>
    <w:p>
      <w:r>
        <w:br w:type="page"/>
      </w:r>
    </w:p>
    <w:p>
      <w:pPr>
        <w:spacing w:after="240"/>
        <w:jc w:val="center"/>
      </w:pPr>
      <w:r>
        <w:rPr>
          <w:rFonts w:ascii="Helvetica-Bold" w:hAnsi="Helvetica-Bold"/>
          <w:b/>
          <w:sz w:val="24"/>
        </w:rPr>
        <w:t>TERMS &amp; CONDITIONS OF PURCHASE ORDER</w:t>
      </w:r>
    </w:p>
    <w:p>
      <w:pPr>
        <w:spacing w:after="0" w:before="120"/>
      </w:pPr>
      <w:r>
        <w:rPr>
          <w:rFonts w:ascii="Courier" w:hAnsi="Courier"/>
          <w:sz w:val="16"/>
        </w:rPr>
        <w:t xml:space="preserve">1. </w:t>
      </w:r>
      <w:r>
        <w:rPr>
          <w:rFonts w:ascii="Courier-Bold" w:hAnsi="Courier-Bold"/>
          <w:b/>
          <w:sz w:val="16"/>
        </w:rPr>
        <w:t>INVOICE</w:t>
      </w:r>
    </w:p>
    <w:p>
      <w:pPr>
        <w:spacing w:after="80" w:before="0"/>
      </w:pPr>
      <w:r>
        <w:rPr>
          <w:rFonts w:ascii="Courier" w:hAnsi="Courier"/>
          <w:sz w:val="16"/>
        </w:rPr>
        <w:t>- Supplier/Contractor's complete and undisputed invoice/claim, attach with a copy of this P.O./LOA, the approved delivery order (D.O.) note and/or approved certificate of completion on the services/works and relevant supporting document must be submitted to MIMOS' Finance Dept. personnel, (Ext. 5234).</w:t>
      </w:r>
    </w:p>
    <w:p>
      <w:pPr>
        <w:spacing w:after="0" w:before="120"/>
      </w:pPr>
      <w:r>
        <w:rPr>
          <w:rFonts w:ascii="Courier" w:hAnsi="Courier"/>
          <w:sz w:val="16"/>
        </w:rPr>
        <w:t xml:space="preserve">2. </w:t>
      </w:r>
      <w:r>
        <w:rPr>
          <w:rFonts w:ascii="Courier-Bold" w:hAnsi="Courier-Bold"/>
          <w:b/>
          <w:sz w:val="16"/>
        </w:rPr>
        <w:t>TAX</w:t>
      </w:r>
    </w:p>
    <w:p>
      <w:pPr>
        <w:spacing w:after="80" w:before="0"/>
      </w:pPr>
      <w:r>
        <w:rPr>
          <w:rFonts w:ascii="Courier" w:hAnsi="Courier"/>
          <w:sz w:val="16"/>
        </w:rPr>
        <w:t>- The prices specified in this PO are subject to taxes,if applicable.</w:t>
      </w:r>
    </w:p>
    <w:p>
      <w:pPr>
        <w:spacing w:after="0" w:before="120"/>
      </w:pPr>
      <w:r>
        <w:rPr>
          <w:rFonts w:ascii="Courier" w:hAnsi="Courier"/>
          <w:sz w:val="16"/>
        </w:rPr>
        <w:t xml:space="preserve">3. </w:t>
      </w:r>
      <w:r>
        <w:rPr>
          <w:rFonts w:ascii="Courier-Bold" w:hAnsi="Courier-Bold"/>
          <w:b/>
          <w:sz w:val="16"/>
        </w:rPr>
        <w:t>OFFER</w:t>
      </w:r>
    </w:p>
    <w:p>
      <w:pPr>
        <w:spacing w:after="80" w:before="0"/>
      </w:pPr>
      <w:r>
        <w:rPr>
          <w:rFonts w:ascii="Courier" w:hAnsi="Courier"/>
          <w:sz w:val="16"/>
        </w:rPr>
        <w:t>- This P.O. and its attachments/appendices, if any, constitute MIMOS' offer and is conditioned upon Supplier's (including Contractor or Consultant, where relevant) acceptance of each of the following terms &amp; conditions and any alteration of any term &amp; condition by Supplier shall constitute a counter offer which shall not be binding on MIMOS until specifically accepted in writing. Notwithstanding the above, the Supplier hereby agrees that Supplier (including contractor or consultant) shall not deliver goods or services or commence any works / services without receiving an official Purchase Order (PO) from MIMOS.</w:t>
      </w:r>
    </w:p>
    <w:p>
      <w:pPr>
        <w:spacing w:after="0" w:before="120"/>
      </w:pPr>
      <w:r>
        <w:rPr>
          <w:rFonts w:ascii="Courier" w:hAnsi="Courier"/>
          <w:sz w:val="16"/>
        </w:rPr>
        <w:t xml:space="preserve">4. </w:t>
      </w:r>
      <w:r>
        <w:rPr>
          <w:rFonts w:ascii="Courier-Bold" w:hAnsi="Courier-Bold"/>
          <w:b/>
          <w:sz w:val="16"/>
        </w:rPr>
        <w:t>ACCEPTANCE OF OFFER</w:t>
      </w:r>
    </w:p>
    <w:p>
      <w:pPr>
        <w:spacing w:after="80" w:before="0"/>
      </w:pPr>
      <w:r>
        <w:rPr>
          <w:rFonts w:ascii="Courier" w:hAnsi="Courier"/>
          <w:sz w:val="16"/>
        </w:rPr>
        <w:t>- Supplier must accept this P.O. by giving MIMOS a prompt written acknowledgement of their acceptance within 1 week ARO. However, in the event Supplier fails to provide MIMOS with a written acknowledgement within 1 week ARO and fails to provide MIMOS with a written notice of rejection of the order, or specific modification of a particular term &amp; condition within that 1 week period, MIMOS and Supplier hereby agree that all prices and all the terms &amp; conditions as expressed herein and its attachment/appendices, if any, shall apply in full.</w:t>
      </w:r>
    </w:p>
    <w:p>
      <w:pPr>
        <w:spacing w:after="0" w:before="120"/>
      </w:pPr>
      <w:r>
        <w:rPr>
          <w:rFonts w:ascii="Courier" w:hAnsi="Courier"/>
          <w:sz w:val="16"/>
        </w:rPr>
        <w:t xml:space="preserve">5. </w:t>
      </w:r>
      <w:r>
        <w:rPr>
          <w:rFonts w:ascii="Courier-Bold" w:hAnsi="Courier-Bold"/>
          <w:b/>
          <w:sz w:val="16"/>
        </w:rPr>
        <w:t>PRICE</w:t>
      </w:r>
    </w:p>
    <w:p>
      <w:pPr>
        <w:spacing w:after="80" w:before="0"/>
      </w:pPr>
      <w:r>
        <w:rPr>
          <w:rFonts w:ascii="Courier" w:hAnsi="Courier"/>
          <w:sz w:val="16"/>
        </w:rPr>
        <w:t>- All prices shall remain firm throughout the delivery of the ordered goods and/or execution of services/works or until the terms, conditions and requirements of this P.O. are completed. No price/rate escalation shall be allowed.</w:t>
      </w:r>
    </w:p>
    <w:p>
      <w:pPr>
        <w:spacing w:after="0" w:before="120"/>
      </w:pPr>
      <w:r>
        <w:rPr>
          <w:rFonts w:ascii="Courier" w:hAnsi="Courier"/>
          <w:sz w:val="16"/>
        </w:rPr>
        <w:t xml:space="preserve">6. </w:t>
      </w:r>
      <w:r>
        <w:rPr>
          <w:rFonts w:ascii="Courier-Bold" w:hAnsi="Courier-Bold"/>
          <w:b/>
          <w:sz w:val="16"/>
        </w:rPr>
        <w:t>SPECIFICATIONS &amp; SCOPE OF WORKS</w:t>
      </w:r>
    </w:p>
    <w:p>
      <w:pPr>
        <w:spacing w:after="80" w:before="0"/>
      </w:pPr>
      <w:r>
        <w:rPr>
          <w:rFonts w:ascii="Courier" w:hAnsi="Courier"/>
          <w:sz w:val="16"/>
        </w:rPr>
        <w:t>- Goods delivered and/or services/works executed by Supplier, shall comply strictly with MIMOS' required specifications &amp; scope of works, failing which MIMOS shall reject such goods and/or services/works without any liability whatsoever to Supplier or Supplier shall at MIMOS' request, replace or make good of any short supply or defects, at Supplier's expense.</w:t>
      </w:r>
    </w:p>
    <w:p>
      <w:pPr>
        <w:spacing w:after="0" w:before="120"/>
      </w:pPr>
      <w:r>
        <w:rPr>
          <w:rFonts w:ascii="Courier" w:hAnsi="Courier"/>
          <w:sz w:val="16"/>
        </w:rPr>
        <w:t xml:space="preserve">7. </w:t>
      </w:r>
      <w:r>
        <w:rPr>
          <w:rFonts w:ascii="Courier-Bold" w:hAnsi="Courier-Bold"/>
          <w:b/>
          <w:sz w:val="16"/>
        </w:rPr>
        <w:t>QUANTITY</w:t>
      </w:r>
    </w:p>
    <w:p>
      <w:pPr>
        <w:spacing w:after="80" w:before="0"/>
      </w:pPr>
      <w:r>
        <w:rPr>
          <w:rFonts w:ascii="Courier" w:hAnsi="Courier"/>
          <w:sz w:val="16"/>
        </w:rPr>
        <w:t>- MIMOS shall be obligated to purchase and accept only the quantity of items described herein and items received in excess thereof or substituted by Supplier may be returned to Supplier at Supplier's risk and expense.</w:t>
      </w:r>
    </w:p>
    <w:p>
      <w:pPr>
        <w:spacing w:after="0" w:before="120"/>
      </w:pPr>
      <w:r>
        <w:rPr>
          <w:rFonts w:ascii="Courier" w:hAnsi="Courier"/>
          <w:sz w:val="16"/>
        </w:rPr>
        <w:t xml:space="preserve">8. </w:t>
      </w:r>
      <w:r>
        <w:rPr>
          <w:rFonts w:ascii="Courier-Bold" w:hAnsi="Courier-Bold"/>
          <w:b/>
          <w:sz w:val="16"/>
        </w:rPr>
        <w:t>MODIFICATIONS/CHANGES</w:t>
      </w:r>
    </w:p>
    <w:p>
      <w:pPr>
        <w:spacing w:after="80" w:before="0"/>
      </w:pPr>
      <w:r>
        <w:rPr>
          <w:rFonts w:ascii="Courier" w:hAnsi="Courier"/>
          <w:sz w:val="16"/>
        </w:rPr>
        <w:t>- MIMOS reserves the right at any time to make changes in this P.O. or any part thereof. The changes shall be made in writing, or to do so orally with a prompt written confirmation. If such changes cause an increase in Supplier's costs and/or an alteration in the delivery/completion date, subject to MIMOS' approval, an equitable adjustment shall be made. Any claim by Supplier for adjustment must be asserted in writing (with details and reason) within 1 week from the date on which such change was advised and default shall not be admissible. Thereafter a P.O. Revision will be issued to Supplier to confirm on the agreed modifications/changes on the original P.O.</w:t>
      </w:r>
    </w:p>
    <w:p>
      <w:pPr>
        <w:spacing w:after="0" w:before="120"/>
      </w:pPr>
      <w:r>
        <w:rPr>
          <w:rFonts w:ascii="Courier" w:hAnsi="Courier"/>
          <w:sz w:val="16"/>
        </w:rPr>
        <w:t xml:space="preserve">9. </w:t>
      </w:r>
      <w:r>
        <w:rPr>
          <w:rFonts w:ascii="Courier-Bold" w:hAnsi="Courier-Bold"/>
          <w:b/>
          <w:sz w:val="16"/>
        </w:rPr>
        <w:t>PROGRESS OF P.O.</w:t>
      </w:r>
    </w:p>
    <w:p>
      <w:pPr>
        <w:spacing w:after="80" w:before="0"/>
      </w:pPr>
      <w:r>
        <w:rPr>
          <w:rFonts w:ascii="Courier" w:hAnsi="Courier"/>
          <w:sz w:val="16"/>
        </w:rPr>
        <w:t>- Supplier shall liaise closely with MIMOS' requester stated herein, on the progress of this P.O. and notify the requester and MIMOS' Goods Receiving Point (GRP) personnel (for ordered goods only with delivery point to MIMOS' office at Technology Park Malaysia (TPM), Kuala Lumpur) in advance prior to the delivery of the goods and/or execution of ordered services/works. All goods shall be properly packed and protected to withstand transit and short term storage and all packages sequentially numbered. Supplier shall bear all packing and crating charges. Any damage or loss resulting from improper packing and labeling shall be borne by Supplier. All delivery of goods to MIMOS' GRP/Warehouse must be accompanied with Supplier's D.O. notes, packing list, pro-forma invoice, bill of lading, airway bill, where applicable, and a copy of this P.O. The delivery documents must specify this P.O. number, date, line item number(s), quantity and description(s). Partial delivery goods must be specified in the Supplier's delivery document to MIMOS. Supplier must tag or label each item delivered. Supplier must seek MIMOS' GRP/Warehouse authorized personnel to approve their D.O. notes and to certify a copy of this P.O., immediately upon delivery of the goods to MIMOS. Supplier is reminded not to deliver the ordered goods direct to MIMOS' requester/end-user.</w:t>
      </w:r>
    </w:p>
    <w:p>
      <w:pPr>
        <w:spacing w:after="0" w:before="120"/>
      </w:pPr>
      <w:r>
        <w:rPr>
          <w:rFonts w:ascii="Courier" w:hAnsi="Courier"/>
          <w:sz w:val="16"/>
        </w:rPr>
        <w:t xml:space="preserve">10. </w:t>
      </w:r>
      <w:r>
        <w:rPr>
          <w:rFonts w:ascii="Courier-Bold" w:hAnsi="Courier-Bold"/>
          <w:b/>
          <w:sz w:val="16"/>
        </w:rPr>
        <w:t>CERTIFICATE/LETTER OF COMPLETION FOR SERVICES/WORKS</w:t>
      </w:r>
    </w:p>
    <w:p>
      <w:pPr>
        <w:spacing w:after="80" w:before="0"/>
      </w:pPr>
      <w:r>
        <w:rPr>
          <w:rFonts w:ascii="Courier" w:hAnsi="Courier"/>
          <w:sz w:val="16"/>
        </w:rPr>
        <w:t>- For P.O. involving services/works, Supplier must produce a certificate/letter of completion and seek MIMOS' authorized personnel/requester's verification and approval upon completion of the ordered services/works.</w:t>
      </w:r>
    </w:p>
    <w:p>
      <w:r>
        <w:br w:type="page"/>
      </w:r>
    </w:p>
    <w:p>
      <w:pPr>
        <w:spacing w:after="240"/>
        <w:jc w:val="center"/>
      </w:pPr>
      <w:r>
        <w:rPr>
          <w:rFonts w:ascii="Helvetica-Bold" w:hAnsi="Helvetica-Bold"/>
          <w:b/>
          <w:sz w:val="24"/>
        </w:rPr>
        <w:t>TERMS &amp; CONDITIONS OF PURCHASE ORDER</w:t>
      </w:r>
    </w:p>
    <w:p>
      <w:pPr>
        <w:spacing w:after="0" w:before="120"/>
      </w:pPr>
      <w:r>
        <w:rPr>
          <w:rFonts w:ascii="Courier" w:hAnsi="Courier"/>
          <w:sz w:val="16"/>
        </w:rPr>
        <w:t xml:space="preserve">11. </w:t>
      </w:r>
      <w:r>
        <w:rPr>
          <w:rFonts w:ascii="Courier-Bold" w:hAnsi="Courier-Bold"/>
          <w:b/>
          <w:sz w:val="16"/>
        </w:rPr>
        <w:t>DELIVERY DATE AND/OR COMPLETION DATE</w:t>
      </w:r>
    </w:p>
    <w:p>
      <w:pPr>
        <w:spacing w:after="80" w:before="0"/>
      </w:pPr>
      <w:r>
        <w:rPr>
          <w:rFonts w:ascii="Courier" w:hAnsi="Courier"/>
          <w:sz w:val="16"/>
        </w:rPr>
        <w:t>- Supplier shall deliver the goods and/or complete the services/works on or before the delivery/completion date specified herein, failing which MIMOS shall cancel this P.O. without any liability whatsoever to Supplier or MIMOS shall impose penalty on Supplier for late delivery of goods and/or late completion of services/works.</w:t>
      </w:r>
    </w:p>
    <w:p>
      <w:pPr>
        <w:spacing w:after="0" w:before="120"/>
      </w:pPr>
      <w:r>
        <w:rPr>
          <w:rFonts w:ascii="Courier" w:hAnsi="Courier"/>
          <w:sz w:val="16"/>
        </w:rPr>
        <w:t xml:space="preserve">12. </w:t>
      </w:r>
      <w:r>
        <w:rPr>
          <w:rFonts w:ascii="Courier-Bold" w:hAnsi="Courier-Bold"/>
          <w:b/>
          <w:sz w:val="16"/>
        </w:rPr>
        <w:t>INSTALLATION, TESTING &amp; COMMISSIONING</w:t>
      </w:r>
    </w:p>
    <w:p>
      <w:pPr>
        <w:spacing w:after="80" w:before="0"/>
      </w:pPr>
      <w:r>
        <w:rPr>
          <w:rFonts w:ascii="Courier" w:hAnsi="Courier"/>
          <w:sz w:val="16"/>
        </w:rPr>
        <w:t>- Where applicable, Supplier shall be responsible for the installation, testing &amp; commissioning services of the goods purchased. Supplier shall make available to MIMOS, either without charge or at a rate mutually agreed upon, one or more personnel, as reasonable required, to undertake the services.</w:t>
      </w:r>
    </w:p>
    <w:p>
      <w:pPr>
        <w:spacing w:after="0" w:before="120"/>
      </w:pPr>
      <w:r>
        <w:rPr>
          <w:rFonts w:ascii="Courier" w:hAnsi="Courier"/>
          <w:sz w:val="16"/>
        </w:rPr>
        <w:t xml:space="preserve">13. </w:t>
      </w:r>
      <w:r>
        <w:rPr>
          <w:rFonts w:ascii="Courier-Bold" w:hAnsi="Courier-Bold"/>
          <w:b/>
          <w:sz w:val="16"/>
        </w:rPr>
        <w:t>WARRANTY/DLP</w:t>
      </w:r>
    </w:p>
    <w:p>
      <w:pPr>
        <w:spacing w:after="80" w:before="0"/>
      </w:pPr>
      <w:r>
        <w:rPr>
          <w:rFonts w:ascii="Courier" w:hAnsi="Courier"/>
          <w:sz w:val="16"/>
        </w:rPr>
        <w:t>- Supplier warrants that all goods supplied under the terms &amp; conditions of this P.O. are new and free from defects in materials and workmanship and are in accordance with the MIMOS' required specifications. Supplier shall grant to MIMOS the benefit of all warranties or guaranties that are given by Supplier's manufacturers, agents, or subcontractors for goods supplied under this P.O. If any defect occurs or if any item fails to the designated specifications within 18 months from date of delivery or 12 months from the date of successful commissioning &amp; acceptance, whichever period is the longer, Supplier shall, at its own cost, repair or replace the goods. If Supplier fails to repair or replace the defective goods, MIMOS may repair or replace them and Supplier shall reimburse MIMOS all costs including transportation &amp; reinstallation, testing &amp; commissioning costs and custom's duties &amp; taxes incurred by MIMOS. The warranty on the repaired or replaced goods shall continue for 12 months from the date of successful commissioning &amp; acceptance. If Supplier fails to make good the work defects or poor workmanship during the DLP, MIMOS shall utilize the retention sum or any outstanding balance due to the Supplier, to make good the work defects or poor workmanship through engaging another Supplier. Supplier's warranty on the software shall be a minimum of 90 days from the date of acceptance by MIMOS. All Supplier's warranties or guaranties or DLP shall inure to the benefit and be enforceable by both MIMOS and its subsidiaries or affiliates, jointly and separately.</w:t>
      </w:r>
    </w:p>
    <w:p>
      <w:pPr>
        <w:spacing w:after="0" w:before="120"/>
      </w:pPr>
      <w:r>
        <w:rPr>
          <w:rFonts w:ascii="Courier" w:hAnsi="Courier"/>
          <w:sz w:val="16"/>
        </w:rPr>
        <w:t xml:space="preserve">14. </w:t>
      </w:r>
      <w:r>
        <w:rPr>
          <w:rFonts w:ascii="Courier-Bold" w:hAnsi="Courier-Bold"/>
          <w:b/>
          <w:sz w:val="16"/>
        </w:rPr>
        <w:t>PAYMENT TERMS AND INVOICING</w:t>
      </w:r>
    </w:p>
    <w:p>
      <w:pPr>
        <w:spacing w:after="80" w:before="0"/>
      </w:pPr>
      <w:r>
        <w:rPr>
          <w:rFonts w:ascii="Courier" w:hAnsi="Courier"/>
          <w:sz w:val="16"/>
        </w:rPr>
        <w:t>- Unless specifically stated otherwise herein, payment shall be made within 30 days after full acceptance of the delivered ordered goods and/or after full acceptance of completed ordered services/works, or after receipt of Supplier's undisputed original invoice, whichever occur last. Payment will make in Malaysian Ringgit. However, where the P.O.is priced in a foreign currency, payment will be made at MIMOS' option in that currency or in Malaysian Ringgit using the Bank's selling rate telegraphic transfer (TT) on the date of payment. To ensure timely payment, Supplier's invoice must specify this P.O. number and date, and must be attached with a copy of this P.O., approved D.O. notes and/or certificate/letter of completion on the services/works. Supplier's invoice and its attachment must be sent to the requester or other MIMOS' personnel stated otherwise herein. An incorrect invoice or an invoice without appropriate supporting documents will be returned to Supplier. All Supplier's invoices must be sent to MIMOS within 1 year after delivery of goods and/or completion of works/services, failing which the Supplier shall relieve MIMOS from any liability for payment.</w:t>
      </w:r>
    </w:p>
    <w:p>
      <w:pPr>
        <w:spacing w:after="0" w:before="120"/>
      </w:pPr>
      <w:r>
        <w:rPr>
          <w:rFonts w:ascii="Courier" w:hAnsi="Courier"/>
          <w:sz w:val="16"/>
        </w:rPr>
        <w:t xml:space="preserve">15. </w:t>
      </w:r>
      <w:r>
        <w:rPr>
          <w:rFonts w:ascii="Courier-Bold" w:hAnsi="Courier-Bold"/>
          <w:b/>
          <w:sz w:val="16"/>
        </w:rPr>
        <w:t>LICENSES AND PERMITS</w:t>
      </w:r>
    </w:p>
    <w:p>
      <w:pPr>
        <w:spacing w:after="80" w:before="0"/>
      </w:pPr>
      <w:r>
        <w:rPr>
          <w:rFonts w:ascii="Courier" w:hAnsi="Courier"/>
          <w:sz w:val="16"/>
        </w:rPr>
        <w:t>- If execution of this P.O. requires any license or permit, the P.O. shall be conditional upon such license or permit being available at the relevant time. All goods purchased must comply with relevant government regulations including any amendments or additions issued prior to the issuance of this P.O.</w:t>
      </w:r>
    </w:p>
    <w:p>
      <w:pPr>
        <w:spacing w:after="0" w:before="120"/>
      </w:pPr>
      <w:r>
        <w:rPr>
          <w:rFonts w:ascii="Courier" w:hAnsi="Courier"/>
          <w:sz w:val="16"/>
        </w:rPr>
        <w:t xml:space="preserve">16. </w:t>
      </w:r>
      <w:r>
        <w:rPr>
          <w:rFonts w:ascii="Courier-Bold" w:hAnsi="Courier-Bold"/>
          <w:b/>
          <w:sz w:val="16"/>
        </w:rPr>
        <w:t>CONFIDENTIALITY</w:t>
      </w:r>
    </w:p>
    <w:p>
      <w:pPr>
        <w:spacing w:after="80" w:before="0"/>
      </w:pPr>
      <w:r>
        <w:rPr>
          <w:rFonts w:ascii="Courier" w:hAnsi="Courier"/>
          <w:sz w:val="16"/>
        </w:rPr>
        <w:t>- Supplier shall treat as secret and confidential on all information supplied in connection with this P.O. and shall not disclose any information to any other person/party without prior written approval from MIMOS. Prior to the execution of this P.O., MIMOS' requester/end-user will request Supplier to execute the Non-Disclosure Agreement (NDA).</w:t>
      </w:r>
    </w:p>
    <w:p>
      <w:pPr>
        <w:spacing w:after="0" w:before="120"/>
      </w:pPr>
      <w:r>
        <w:rPr>
          <w:rFonts w:ascii="Courier" w:hAnsi="Courier"/>
          <w:sz w:val="16"/>
        </w:rPr>
        <w:t xml:space="preserve">17. </w:t>
      </w:r>
      <w:r>
        <w:rPr>
          <w:rFonts w:ascii="Courier-Bold" w:hAnsi="Courier-Bold"/>
          <w:b/>
          <w:sz w:val="16"/>
        </w:rPr>
        <w:t>INDEMNITY AGAINST INFRINGEMENT</w:t>
      </w:r>
    </w:p>
    <w:p>
      <w:pPr>
        <w:spacing w:after="80" w:before="0"/>
      </w:pPr>
      <w:r>
        <w:rPr>
          <w:rFonts w:ascii="Courier" w:hAnsi="Courier"/>
          <w:sz w:val="16"/>
        </w:rPr>
        <w:t>- Supplier shall protect, indemnify and hold harmless MIMOS and its subsidiaries and affiliates and the personnel of any of these, against any liability loss or expense by reason of any claim, action, litigation in respect of any alleged or actual infringement of any patent, copyright or trademark, trade secret or proprietary right, foreign or domestic, resultant from the use or resale of the goods. Supplier will pay on behalf of MIMOS, all costs, damages, lawyer's fees and other reasonable expenses associated with such claim.</w:t>
      </w:r>
    </w:p>
    <w:p>
      <w:pPr>
        <w:spacing w:after="0" w:before="120"/>
      </w:pPr>
      <w:r>
        <w:rPr>
          <w:rFonts w:ascii="Courier" w:hAnsi="Courier"/>
          <w:sz w:val="16"/>
        </w:rPr>
        <w:t xml:space="preserve">18. </w:t>
      </w:r>
      <w:r>
        <w:rPr>
          <w:rFonts w:ascii="Courier-Bold" w:hAnsi="Courier-Bold"/>
          <w:b/>
          <w:sz w:val="16"/>
        </w:rPr>
        <w:t>LIABILITY AND INDEMNITY</w:t>
      </w:r>
    </w:p>
    <w:p>
      <w:pPr>
        <w:spacing w:after="80" w:before="0"/>
      </w:pPr>
      <w:r>
        <w:rPr>
          <w:rFonts w:ascii="Courier" w:hAnsi="Courier"/>
          <w:sz w:val="16"/>
        </w:rPr>
        <w:t>- Supplier shall be liable for and shall indemnify MIMOS and its subsidiaries and affiliates from and against all claims, proceedings, demands and causes of action in respect of any damage, loss or injury, including death, to any person or property arising out of Supplier's negligence, any act or omission or from any defective material or workmanship on any goods and/or services/works performed under this P.O.</w:t>
      </w:r>
    </w:p>
    <w:p>
      <w:pPr>
        <w:spacing w:after="0" w:before="120"/>
      </w:pPr>
      <w:r>
        <w:rPr>
          <w:rFonts w:ascii="Courier" w:hAnsi="Courier"/>
          <w:sz w:val="16"/>
        </w:rPr>
        <w:t xml:space="preserve">19. </w:t>
      </w:r>
      <w:r>
        <w:rPr>
          <w:rFonts w:ascii="Courier-Bold" w:hAnsi="Courier-Bold"/>
          <w:b/>
          <w:sz w:val="16"/>
        </w:rPr>
        <w:t>LEINS</w:t>
      </w:r>
    </w:p>
    <w:p>
      <w:pPr>
        <w:spacing w:after="80" w:before="0"/>
      </w:pPr>
      <w:r>
        <w:rPr>
          <w:rFonts w:ascii="Courier" w:hAnsi="Courier"/>
          <w:sz w:val="16"/>
        </w:rPr>
        <w:t>- Supplier shall hold harmless and indemnify MIMOS from and against all LIENS, attachment, charges or claims by any person or company in connection with or arising out of this P.O.</w:t>
      </w:r>
    </w:p>
    <w:p>
      <w:pPr>
        <w:spacing w:after="0" w:before="120"/>
      </w:pPr>
      <w:r>
        <w:rPr>
          <w:rFonts w:ascii="Courier" w:hAnsi="Courier"/>
          <w:sz w:val="16"/>
        </w:rPr>
        <w:t xml:space="preserve">20. </w:t>
      </w:r>
      <w:r>
        <w:rPr>
          <w:rFonts w:ascii="Courier-Bold" w:hAnsi="Courier-Bold"/>
          <w:b/>
          <w:sz w:val="16"/>
        </w:rPr>
        <w:t>FORCE MAJEURE</w:t>
      </w:r>
    </w:p>
    <w:p>
      <w:pPr>
        <w:spacing w:after="80" w:before="0"/>
      </w:pPr>
      <w:r>
        <w:rPr>
          <w:rFonts w:ascii="Courier" w:hAnsi="Courier"/>
          <w:sz w:val="16"/>
        </w:rPr>
        <w:t>(a)Neither MIMOS nor the Supplier shall be liable one to other for any delay or failure to perform its obligations under this P.O. where and to the extent of such delay or failure is caused by the inability of either party to fulfil its obligations under this P.O. due to Force Majeure.</w:t>
        <w:br/>
        <w:t>(b)Force Majeure shall include, but not limited to acts of God, war, riots, insurrection, acts of terrorists, governments orders/regulations, strikes, boycotts, or other labor disturbances, unusual weather during the period in question, or any other similar matters beyond the control of or which could not have been reasonable foreseen and/or avoided by the party affected by same.</w:t>
        <w:br/>
        <w:t>(c)Notwithstanding the above, a strike or slow, obstructive or disruptive conduct or work by any of Supplier's employees or Supplier's manufacturer employees shall not be deemed to be Force Majeure.</w:t>
        <w:br/>
        <w:t>(d)In the event of such Force Majeure occurrence, the party claiming to be effected thereby shall promptly notify the order party, giving full particular thereof, and shall use its best endeavors to remedy such failure of fulfillment with all reasonable dispatch. Either party shall have the right, during any period of Force Majeure, to mitigate its losses arising from the effect of such Force Majeure provided always that, upon the cessation of the Force Majeure, the affected party shall immediately resume it obligations under this P.O. Such affected party shall continue to keep the other party fully advised of the progress being made in such efforts.</w:t>
        <w:br/>
        <w:t>(e)Under no circumstances, shall this P.O. price be increased to include for the financial impact on either party of any Force Majeure occurrence.</w:t>
        <w:br/>
        <w:t>(f)If performance of this P.O. will be delayed by more than 15 days, MIMOS may terminate this P.O. and incur no liability other than obligation to pay items previously delivered by Supplier and accepted by MIMOS.</w:t>
      </w:r>
    </w:p>
    <w:p>
      <w:r>
        <w:br w:type="page"/>
      </w:r>
    </w:p>
    <w:p>
      <w:pPr>
        <w:spacing w:after="240"/>
        <w:jc w:val="center"/>
      </w:pPr>
      <w:r>
        <w:rPr>
          <w:rFonts w:ascii="Helvetica-Bold" w:hAnsi="Helvetica-Bold"/>
          <w:b/>
          <w:sz w:val="24"/>
        </w:rPr>
        <w:t>TERMS &amp; CONDITIONS OF PURCHASE ORDER</w:t>
      </w:r>
    </w:p>
    <w:p>
      <w:pPr>
        <w:spacing w:after="0" w:before="120"/>
      </w:pPr>
      <w:r>
        <w:rPr>
          <w:rFonts w:ascii="Courier" w:hAnsi="Courier"/>
          <w:sz w:val="16"/>
        </w:rPr>
        <w:t xml:space="preserve">21. </w:t>
      </w:r>
      <w:r>
        <w:rPr>
          <w:rFonts w:ascii="Courier-Bold" w:hAnsi="Courier-Bold"/>
          <w:b/>
          <w:sz w:val="16"/>
        </w:rPr>
        <w:t>LIQUIDATED AND ASCERTAINED DAMAGES (PENALTY)/LAD</w:t>
      </w:r>
    </w:p>
    <w:p>
      <w:pPr>
        <w:spacing w:after="80" w:before="0"/>
      </w:pPr>
      <w:r>
        <w:rPr>
          <w:rFonts w:ascii="Courier" w:hAnsi="Courier"/>
          <w:sz w:val="16"/>
        </w:rPr>
        <w:t>- In the event that the Supplier fails to complete the scope of works of the Goods and/or services/works under this P.O. within the stipulated delivery or completion period or within any extended period granted, the Supplier shall be liable to pay a penalty or LAD to MIMOS within ninety (90) days of written notification as follows.</w:t>
        <w:br/>
        <w:t>(a)For undelivered or late delivery of Goods, the penalty is five (5) percent of P.O value per week.</w:t>
        <w:br/>
        <w:t>(b)For incomplete or late completion of services/works, the LAD is RM200.00 per day.</w:t>
      </w:r>
    </w:p>
    <w:p>
      <w:pPr>
        <w:spacing w:after="0" w:before="120"/>
      </w:pPr>
      <w:r>
        <w:rPr>
          <w:rFonts w:ascii="Courier" w:hAnsi="Courier"/>
          <w:sz w:val="16"/>
        </w:rPr>
        <w:t xml:space="preserve">22. </w:t>
      </w:r>
      <w:r>
        <w:rPr>
          <w:rFonts w:ascii="Courier-Bold" w:hAnsi="Courier-Bold"/>
          <w:b/>
          <w:sz w:val="16"/>
        </w:rPr>
        <w:t>TERMINATION FOR CONVENIENCE</w:t>
      </w:r>
    </w:p>
    <w:p>
      <w:pPr>
        <w:spacing w:after="80" w:before="0"/>
      </w:pPr>
      <w:r>
        <w:rPr>
          <w:rFonts w:ascii="Courier" w:hAnsi="Courier"/>
          <w:sz w:val="16"/>
        </w:rPr>
        <w:t>- MIMOS reserves the right to cancel this P.O., or any part thereof, for any reason and at any time, by giving Supplier written notice. Upon notification of termination, Supplier shall protect all properties in its possession in which MIMOS has an interest, shall terminate all works and commitments made under or pursuant to this P.O. as quickly and effective as possible, and shall provide written proof that such termination has been accomplished in a timely manner. MIMOS shall pay Supplier that percentage of the price corresponding to the percentage of the services/works performed prior to the notice of termination, less all amounts previously paid plus actual direct costs reasonably necessitated by the resulting termination. Supplier shall not be paid for any work done after receipt of notice of termination, for any costs incurred by Supplier or its manufacturer, agents, or subcontractors which Supplier could reasonably have avoided, or for any other amounts not explicitly provided for in this clause. Supplier shall, if so directed by MIMOS, deliver to MIMOS all materials/goods which MIMOS shall have paid for.</w:t>
      </w:r>
    </w:p>
    <w:p>
      <w:pPr>
        <w:spacing w:after="0" w:before="120"/>
      </w:pPr>
      <w:r>
        <w:rPr>
          <w:rFonts w:ascii="Courier" w:hAnsi="Courier"/>
          <w:sz w:val="16"/>
        </w:rPr>
        <w:t xml:space="preserve">23. </w:t>
      </w:r>
      <w:r>
        <w:rPr>
          <w:rFonts w:ascii="Courier-Bold" w:hAnsi="Courier-Bold"/>
          <w:b/>
          <w:sz w:val="16"/>
        </w:rPr>
        <w:t>TERMINATION BY DEFAULT</w:t>
      </w:r>
    </w:p>
    <w:p>
      <w:pPr>
        <w:spacing w:after="80" w:before="0"/>
      </w:pPr>
      <w:r>
        <w:rPr>
          <w:rFonts w:ascii="Courier" w:hAnsi="Courier"/>
          <w:sz w:val="16"/>
        </w:rPr>
        <w:t>- Each of the following events shall constitute a default by Supplier for purpose of this clause and MIMOS shall cancel this P.O. without any liability whatsoever to Supplier.</w:t>
        <w:br/>
        <w:t>(a)In the event of any breach of the terms &amp; conditions of this P.O. including (i) refusal or failure of Supplier to deliver the goods or perform the services/works in accordance with MIMOS' specifications and/or delivery/completion schedule specified herein; (ii) failure to make progress as to endanger performance or target of this P.O. in accordance with its terms &amp; conditions; (iii) failure to perform or comply with any other provision of this P.O. and/or any referenced attachments/appendices to this P.O.</w:t>
        <w:br/>
        <w:t>(b)Any proceedings under the Bankruptcy Code by or against Supplier or the appointment of an assignee for the benefit of creditors.</w:t>
      </w:r>
    </w:p>
    <w:p>
      <w:pPr>
        <w:spacing w:after="0" w:before="120"/>
      </w:pPr>
      <w:r>
        <w:rPr>
          <w:rFonts w:ascii="Courier" w:hAnsi="Courier"/>
          <w:sz w:val="16"/>
        </w:rPr>
        <w:t xml:space="preserve">24. </w:t>
      </w:r>
      <w:r>
        <w:rPr>
          <w:rFonts w:ascii="Courier-Bold" w:hAnsi="Courier-Bold"/>
          <w:b/>
          <w:sz w:val="16"/>
        </w:rPr>
        <w:t>SAFETY AT WORK</w:t>
      </w:r>
    </w:p>
    <w:p>
      <w:pPr>
        <w:spacing w:after="80" w:before="0"/>
      </w:pPr>
      <w:r>
        <w:rPr>
          <w:rFonts w:ascii="Courier" w:hAnsi="Courier"/>
          <w:sz w:val="16"/>
        </w:rPr>
        <w:t>- Where services/works are being executed on MIMOS' premises or property, Supplier shall be responsible for the safety of all personnel engaged on the services/works and all personnel who may be affected by activities of the Supplier and shall comply with MIMOS' safety procedures. Supplier must adequately cover their personnel with proper insurance protection schemes.</w:t>
      </w:r>
    </w:p>
    <w:p>
      <w:pPr>
        <w:spacing w:after="0" w:before="120"/>
      </w:pPr>
      <w:r>
        <w:rPr>
          <w:rFonts w:ascii="Courier" w:hAnsi="Courier"/>
          <w:sz w:val="16"/>
        </w:rPr>
        <w:t xml:space="preserve">25. </w:t>
      </w:r>
      <w:r>
        <w:rPr>
          <w:rFonts w:ascii="Courier-Bold" w:hAnsi="Courier-Bold"/>
          <w:b/>
          <w:sz w:val="16"/>
        </w:rPr>
        <w:t>CONFLICT OF INTERESTS</w:t>
      </w:r>
    </w:p>
    <w:p>
      <w:pPr>
        <w:spacing w:after="80" w:before="0"/>
      </w:pPr>
      <w:r>
        <w:rPr>
          <w:rFonts w:ascii="Courier" w:hAnsi="Courier"/>
          <w:sz w:val="16"/>
        </w:rPr>
        <w:t>- Supplier shall exercise reasonable care and diligence to prevent any action from being taken or condition from a rising which conflict with MIMOS' best interests. This obligation shall apply to the activities of the employees/representatives of Supplier in their relation with MIMOS' employees and families or with vendors, subcontractors and third parties arising from this P.O. Supplier's effort shall include but not limited to, establishing precautions to prevent its employees, agents or representatives from making, receiving, providing or offering gifts, entertainment, payments, loans or other considerations for the purpose of influencing individuals to act contrary to MIMOS' interests.</w:t>
      </w:r>
    </w:p>
    <w:p>
      <w:pPr>
        <w:spacing w:after="0" w:before="120"/>
      </w:pPr>
      <w:r>
        <w:rPr>
          <w:rFonts w:ascii="Courier" w:hAnsi="Courier"/>
          <w:sz w:val="16"/>
        </w:rPr>
        <w:t xml:space="preserve">26. </w:t>
      </w:r>
      <w:r>
        <w:rPr>
          <w:rFonts w:ascii="Courier-Bold" w:hAnsi="Courier-Bold"/>
          <w:b/>
          <w:sz w:val="16"/>
        </w:rPr>
        <w:t>GOVERNING LAW</w:t>
      </w:r>
    </w:p>
    <w:p>
      <w:pPr>
        <w:spacing w:after="80" w:before="0"/>
      </w:pPr>
      <w:r>
        <w:rPr>
          <w:rFonts w:ascii="Courier" w:hAnsi="Courier"/>
          <w:sz w:val="16"/>
        </w:rPr>
        <w:t>- This P.O. shall be governed, construed and shall take effect in accordance with the Malaysian Laws and Supplier agree to submit to the jurisdiction of Malaysia Courts.</w:t>
      </w:r>
    </w:p>
    <w:p>
      <w:pPr>
        <w:spacing w:after="0" w:before="120"/>
      </w:pPr>
      <w:r>
        <w:rPr>
          <w:rFonts w:ascii="Courier" w:hAnsi="Courier"/>
          <w:sz w:val="16"/>
        </w:rPr>
        <w:t xml:space="preserve">27. </w:t>
      </w:r>
      <w:r>
        <w:rPr>
          <w:rFonts w:ascii="Courier-Bold" w:hAnsi="Courier-Bold"/>
          <w:b/>
          <w:sz w:val="16"/>
        </w:rPr>
        <w:t>ASSIGNMENT</w:t>
      </w:r>
    </w:p>
    <w:p>
      <w:pPr>
        <w:spacing w:after="80" w:before="0"/>
      </w:pPr>
      <w:r>
        <w:rPr>
          <w:rFonts w:ascii="Courier" w:hAnsi="Courier"/>
          <w:sz w:val="16"/>
        </w:rPr>
        <w:t>- Supplier shall not assign performance of all or any portion of this P.O. without prior written approval of MIMOS.</w:t>
      </w:r>
    </w:p>
    <w:p>
      <w:pPr>
        <w:spacing w:after="0" w:before="120"/>
      </w:pPr>
      <w:r>
        <w:rPr>
          <w:rFonts w:ascii="Courier" w:hAnsi="Courier"/>
          <w:sz w:val="16"/>
        </w:rPr>
        <w:t xml:space="preserve">28. </w:t>
      </w:r>
      <w:r>
        <w:rPr>
          <w:rFonts w:ascii="Courier-Bold" w:hAnsi="Courier-Bold"/>
          <w:b/>
          <w:sz w:val="16"/>
        </w:rPr>
        <w:t>TITLE</w:t>
      </w:r>
    </w:p>
    <w:p>
      <w:pPr>
        <w:spacing w:after="80" w:before="0"/>
      </w:pPr>
      <w:r>
        <w:rPr>
          <w:rFonts w:ascii="Courier" w:hAnsi="Courier"/>
          <w:sz w:val="16"/>
        </w:rPr>
        <w:t>- Unless specifically stated otherwise herein, title to the goods purchased shall pass from Supplier to MIMOS at the time Supplier delivers the goods to MIMOS or to MIMOS' designated freight forwarding company to transport the goods. If Supplier agrees to transport the goods, title shall pass whenever the items are actually delivered to MIMOS. Supplier shall bear all risk of loss until title passes to MIMOS or to MIMOS' designated freight forwarding company.</w:t>
      </w:r>
    </w:p>
    <w:p>
      <w:pPr>
        <w:spacing w:after="0" w:before="120"/>
      </w:pPr>
      <w:r>
        <w:rPr>
          <w:rFonts w:ascii="Courier" w:hAnsi="Courier"/>
          <w:sz w:val="16"/>
        </w:rPr>
        <w:t xml:space="preserve">29. </w:t>
      </w:r>
      <w:r>
        <w:rPr>
          <w:rFonts w:ascii="Courier-Bold" w:hAnsi="Courier-Bold"/>
          <w:b/>
          <w:sz w:val="16"/>
        </w:rPr>
        <w:t>ENTIRE AGREEMENT</w:t>
      </w:r>
    </w:p>
    <w:p>
      <w:pPr>
        <w:spacing w:after="80" w:before="0"/>
      </w:pPr>
      <w:r>
        <w:rPr>
          <w:rFonts w:ascii="Courier" w:hAnsi="Courier"/>
          <w:sz w:val="16"/>
        </w:rPr>
        <w:t>- These terms &amp; conditions, including any referenced attachments/appendices, constitute the entire terms &amp; conditions of the agreement between MIMOS and the Supplier. Any amendments to this P.O., including an oral amendment/modification shall be made in writing and be signed by MIMOS and the Supplier before it will be effective.</w:t>
      </w:r>
    </w:p>
    <w:p>
      <w:pPr>
        <w:spacing w:after="0" w:before="120"/>
      </w:pPr>
      <w:r>
        <w:rPr>
          <w:rFonts w:ascii="Courier" w:hAnsi="Courier"/>
          <w:sz w:val="16"/>
        </w:rPr>
        <w:t xml:space="preserve">30. </w:t>
      </w:r>
      <w:r>
        <w:rPr>
          <w:rFonts w:ascii="Courier-Bold" w:hAnsi="Courier-Bold"/>
          <w:b/>
          <w:sz w:val="16"/>
        </w:rPr>
        <w:t>CONFLICT</w:t>
      </w:r>
    </w:p>
    <w:p>
      <w:pPr>
        <w:spacing w:after="80" w:before="0"/>
      </w:pPr>
      <w:r>
        <w:rPr>
          <w:rFonts w:ascii="Courier" w:hAnsi="Courier"/>
          <w:sz w:val="16"/>
        </w:rPr>
        <w:t>- In the event that there is any conflict between any provision on the terms &amp; conditions typed on the faced of this P.O. and/or on any referenced attachments/appendices to this P.O. and any provision set forth in the terms &amp; conditions of this P.O., the typed provision on the face of this P.O. and/or its attachments/appendices shall prevail.</w:t>
      </w:r>
    </w:p>
    <w:p>
      <w:r>
        <w:br w:type="page"/>
      </w:r>
    </w:p>
    <w:p>
      <w:pPr>
        <w:spacing w:after="240"/>
        <w:jc w:val="center"/>
      </w:pPr>
      <w:r>
        <w:rPr>
          <w:rFonts w:ascii="Helvetica-Bold" w:hAnsi="Helvetica-Bold"/>
          <w:b/>
          <w:sz w:val="24"/>
        </w:rPr>
        <w:t>TERMS &amp; CONDITIONS OF PURCHASE ORDER</w:t>
      </w:r>
    </w:p>
    <w:p>
      <w:pPr>
        <w:spacing w:after="0" w:before="120"/>
      </w:pPr>
      <w:r>
        <w:rPr>
          <w:rFonts w:ascii="Courier" w:hAnsi="Courier"/>
          <w:sz w:val="16"/>
        </w:rPr>
        <w:t xml:space="preserve">31. </w:t>
      </w:r>
      <w:r>
        <w:rPr>
          <w:rFonts w:ascii="Courier-Bold" w:hAnsi="Courier-Bold"/>
          <w:b/>
          <w:sz w:val="16"/>
        </w:rPr>
        <w:t>INTELLECTUAL PROPERTY RIGHTS</w:t>
      </w:r>
    </w:p>
    <w:p>
      <w:pPr>
        <w:spacing w:after="80" w:before="0"/>
      </w:pPr>
      <w:r>
        <w:rPr>
          <w:rFonts w:ascii="Courier" w:hAnsi="Courier"/>
          <w:sz w:val="16"/>
        </w:rPr>
        <w:t>- All intellectual, proprietary and other rights and interests of any nature in the deliverables relating to the services/works rendered or done by the Supplier for MIMOS shall be owned solely by MIMOS. The Supplier has no legal, beneficial or moral rights over any such intellectual property in whole or in part. The Supplier further undertakes to cooperate with MIMOS, at MIMOS' cost, in the registration of any intellectual property in the deliverables and the enforcement of the same as and when necessary.</w:t>
      </w:r>
    </w:p>
    <w:p>
      <w:pPr>
        <w:spacing w:after="0" w:before="120"/>
      </w:pPr>
      <w:r>
        <w:rPr>
          <w:rFonts w:ascii="Courier" w:hAnsi="Courier"/>
          <w:sz w:val="16"/>
        </w:rPr>
        <w:t xml:space="preserve">32. </w:t>
      </w:r>
      <w:r>
        <w:rPr>
          <w:rFonts w:ascii="Courier-Bold" w:hAnsi="Courier-Bold"/>
          <w:b/>
          <w:sz w:val="16"/>
        </w:rPr>
        <w:t>BRIBERY</w:t>
      </w:r>
    </w:p>
    <w:p>
      <w:pPr>
        <w:spacing w:after="80" w:before="0"/>
      </w:pPr>
      <w:r>
        <w:rPr>
          <w:rFonts w:ascii="Courier" w:hAnsi="Courier"/>
          <w:sz w:val="16"/>
        </w:rPr>
        <w:t>Any act or attempt to corruptly offer or give, solicit or receive any gratification to and from any person in connection with any procurement exercise is a criminal offence under the Anti-Corruption Act 1997.</w:t>
      </w:r>
    </w:p>
    <w:p>
      <w:pPr>
        <w:spacing w:after="0" w:before="120"/>
      </w:pPr>
      <w:r>
        <w:rPr>
          <w:rFonts w:ascii="Courier" w:hAnsi="Courier"/>
          <w:sz w:val="16"/>
        </w:rPr>
        <w:t xml:space="preserve">33. </w:t>
      </w:r>
      <w:r>
        <w:rPr>
          <w:rFonts w:ascii="Courier-Bold" w:hAnsi="Courier-Bold"/>
          <w:b/>
          <w:sz w:val="16"/>
        </w:rPr>
        <w:t>BID-RIGGING/ANTI-COMPETITION</w:t>
      </w:r>
    </w:p>
    <w:p>
      <w:pPr>
        <w:spacing w:after="80" w:before="0"/>
      </w:pPr>
      <w:r>
        <w:rPr>
          <w:rFonts w:ascii="Courier" w:hAnsi="Courier"/>
          <w:sz w:val="16"/>
        </w:rPr>
        <w:t>Supplier shall not participate, or attempt to participate in any bid-rigging/anti-competition activities in connection with any procurement exercise such as Cover Bidding, Bid Suppression, Bid Withdrawal, Bid Rotation, and Non-Conforming bids. Supplier is reminded that the abovementioned bid-rigging/anti-competition activities are serious offence under the Malaysian Competition Act 2010.</w:t>
      </w:r>
    </w:p>
    <w:sectPr w:rsidR="00FC693F" w:rsidRPr="0006063C" w:rsidSect="00034616">
      <w:pgSz w:w="11909" w:h="16834"/>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