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line="480" w:lineRule="auto"/>
        <w:ind w:firstLine="0"/>
        <w:jc w:val="center"/>
      </w:pPr>
      <w:r>
        <w:rPr>
          <w:rFonts w:ascii="Times New Roman" w:hAnsi="Times New Roman" w:eastAsia="Times New Roman"/>
          <w:b/>
          <w:i w:val="0"/>
          <w:color w:val="000000"/>
          <w:sz w:val="32"/>
        </w:rPr>
        <w:t>Trade Openness and Economic Growth: A Replicable Cross-Country Panel Analysis, 2000-2022</w:t>
      </w:r>
    </w:p>
    <w:p>
      <w:pPr>
        <w:pStyle w:val="Heading2"/>
        <w:spacing w:before="240" w:after="120" w:line="480" w:lineRule="auto"/>
        <w:ind w:firstLine="0"/>
        <w:jc w:val="left"/>
      </w:pPr>
      <w:r>
        <w:rPr>
          <w:rFonts w:ascii="Times New Roman" w:hAnsi="Times New Roman" w:eastAsia="Times New Roman"/>
          <w:b/>
          <w:i w:val="0"/>
          <w:color w:val="000000"/>
          <w:sz w:val="24"/>
        </w:rPr>
        <w:t>Running head</w:t>
      </w:r>
    </w:p>
    <w:p>
      <w:pPr>
        <w:spacing w:before="0" w:after="0" w:line="480" w:lineRule="auto"/>
        <w:ind w:firstLine="0"/>
        <w:jc w:val="both"/>
      </w:pPr>
      <w:r>
        <w:rPr>
          <w:rFonts w:ascii="Times New Roman" w:hAnsi="Times New Roman" w:eastAsia="Times New Roman"/>
          <w:b w:val="0"/>
          <w:i w:val="0"/>
          <w:color w:val="000000"/>
          <w:sz w:val="24"/>
        </w:rPr>
        <w:t>Trade Openness and Growth</w:t>
      </w:r>
    </w:p>
    <w:p>
      <w:pPr>
        <w:pStyle w:val="Heading2"/>
        <w:spacing w:before="240" w:after="120" w:line="480" w:lineRule="auto"/>
        <w:ind w:firstLine="0"/>
        <w:jc w:val="left"/>
      </w:pPr>
      <w:r>
        <w:rPr>
          <w:rFonts w:ascii="Times New Roman" w:hAnsi="Times New Roman" w:eastAsia="Times New Roman"/>
          <w:b/>
          <w:i w:val="0"/>
          <w:color w:val="000000"/>
          <w:sz w:val="24"/>
        </w:rPr>
        <w:t>Author(s)</w:t>
      </w:r>
    </w:p>
    <w:p>
      <w:pPr>
        <w:spacing w:before="0" w:after="0" w:line="480" w:lineRule="auto"/>
        <w:ind w:firstLine="0"/>
        <w:jc w:val="both"/>
      </w:pPr>
      <w:r>
        <w:rPr>
          <w:rFonts w:ascii="Times New Roman" w:hAnsi="Times New Roman" w:eastAsia="Times New Roman"/>
          <w:b w:val="0"/>
          <w:i w:val="0"/>
          <w:color w:val="000000"/>
          <w:sz w:val="24"/>
        </w:rPr>
        <w:t>Jinxin Li (ORCID: [ORCID to be inserted])</w:t>
      </w:r>
    </w:p>
    <w:p>
      <w:pPr>
        <w:pStyle w:val="Heading2"/>
        <w:spacing w:before="240" w:after="120" w:line="480" w:lineRule="auto"/>
        <w:ind w:firstLine="0"/>
        <w:jc w:val="left"/>
      </w:pPr>
      <w:r>
        <w:rPr>
          <w:rFonts w:ascii="Times New Roman" w:hAnsi="Times New Roman" w:eastAsia="Times New Roman"/>
          <w:b/>
          <w:i w:val="0"/>
          <w:color w:val="000000"/>
          <w:sz w:val="24"/>
        </w:rPr>
        <w:t>Affiliations</w:t>
      </w:r>
    </w:p>
    <w:p>
      <w:pPr>
        <w:spacing w:before="0" w:after="0" w:line="480" w:lineRule="auto"/>
        <w:ind w:firstLine="0"/>
        <w:jc w:val="both"/>
      </w:pPr>
      <w:r>
        <w:rPr>
          <w:rFonts w:ascii="Times New Roman" w:hAnsi="Times New Roman" w:eastAsia="Times New Roman"/>
          <w:b w:val="0"/>
          <w:i w:val="0"/>
          <w:color w:val="000000"/>
          <w:sz w:val="24"/>
        </w:rPr>
        <w:t>Institute for Advanced Study, AcerisSola, Hangzhou Aceris Intelligent Technology Co., Ltd.</w:t>
      </w:r>
    </w:p>
    <w:p>
      <w:pPr>
        <w:pStyle w:val="Heading2"/>
        <w:spacing w:before="240" w:after="120" w:line="480" w:lineRule="auto"/>
        <w:ind w:firstLine="0"/>
        <w:jc w:val="left"/>
      </w:pPr>
      <w:r>
        <w:rPr>
          <w:rFonts w:ascii="Times New Roman" w:hAnsi="Times New Roman" w:eastAsia="Times New Roman"/>
          <w:b/>
          <w:i w:val="0"/>
          <w:color w:val="000000"/>
          <w:sz w:val="24"/>
        </w:rPr>
        <w:t>Corresponding author</w:t>
      </w:r>
    </w:p>
    <w:p>
      <w:pPr>
        <w:spacing w:before="0" w:after="0" w:line="480" w:lineRule="auto"/>
        <w:ind w:firstLine="0"/>
        <w:jc w:val="both"/>
      </w:pPr>
      <w:r>
        <w:rPr>
          <w:rFonts w:ascii="Times New Roman" w:hAnsi="Times New Roman" w:eastAsia="Times New Roman"/>
          <w:b w:val="0"/>
          <w:i w:val="0"/>
          <w:color w:val="000000"/>
          <w:sz w:val="24"/>
        </w:rPr>
        <w:t>Jinxin Li, Institute for Advanced Study, AcerisSola, Hangzhou Aceris Intelligent Technology Co., Ltd. Full postal address and e-mail address to be added at submission.</w:t>
      </w:r>
    </w:p>
    <w:p>
      <w:pPr>
        <w:pStyle w:val="Heading2"/>
        <w:spacing w:before="240" w:after="120" w:line="480" w:lineRule="auto"/>
        <w:ind w:firstLine="0"/>
        <w:jc w:val="left"/>
      </w:pPr>
      <w:r>
        <w:rPr>
          <w:rFonts w:ascii="Times New Roman" w:hAnsi="Times New Roman" w:eastAsia="Times New Roman"/>
          <w:b/>
          <w:i w:val="0"/>
          <w:color w:val="000000"/>
          <w:sz w:val="24"/>
        </w:rPr>
        <w:t>Acknowledgments</w:t>
      </w:r>
    </w:p>
    <w:p>
      <w:pPr>
        <w:spacing w:before="0" w:after="0" w:line="480" w:lineRule="auto"/>
        <w:ind w:firstLine="0"/>
        <w:jc w:val="both"/>
      </w:pPr>
      <w:r>
        <w:rPr>
          <w:rFonts w:ascii="Times New Roman" w:hAnsi="Times New Roman" w:eastAsia="Times New Roman"/>
          <w:b w:val="0"/>
          <w:i w:val="0"/>
          <w:color w:val="000000"/>
          <w:sz w:val="24"/>
        </w:rPr>
        <w:t>Artificial-intelligence-assisted language tool (GLM-5.2) was utilized for grammatical correction and linguistic refinement during manuscript preparation. No AI was involved in generating research ideas, deriving conclusions, or designing the study. The authors take full responsibility for the final manuscript.</w:t>
      </w:r>
    </w:p>
    <w:p>
      <w:pPr>
        <w:pStyle w:val="Heading2"/>
        <w:spacing w:before="240" w:after="120" w:line="480" w:lineRule="auto"/>
        <w:ind w:firstLine="0"/>
        <w:jc w:val="left"/>
      </w:pPr>
      <w:r>
        <w:rPr>
          <w:rFonts w:ascii="Times New Roman" w:hAnsi="Times New Roman" w:eastAsia="Times New Roman"/>
          <w:b/>
          <w:i w:val="0"/>
          <w:color w:val="000000"/>
          <w:sz w:val="24"/>
        </w:rPr>
        <w:t>Funding sources</w:t>
      </w:r>
    </w:p>
    <w:p>
      <w:pPr>
        <w:spacing w:before="0" w:after="0" w:line="480" w:lineRule="auto"/>
        <w:ind w:firstLine="0"/>
        <w:jc w:val="both"/>
      </w:pPr>
      <w:r>
        <w:rPr>
          <w:rFonts w:ascii="Times New Roman" w:hAnsi="Times New Roman" w:eastAsia="Times New Roman"/>
          <w:b w:val="0"/>
          <w:i w:val="0"/>
          <w:color w:val="000000"/>
          <w:sz w:val="24"/>
        </w:rPr>
        <w:t>None declared.</w:t>
      </w:r>
    </w:p>
    <w:p>
      <w:pPr>
        <w:pStyle w:val="Heading2"/>
        <w:spacing w:before="240" w:after="120" w:line="480" w:lineRule="auto"/>
        <w:ind w:firstLine="0"/>
        <w:jc w:val="left"/>
      </w:pPr>
      <w:r>
        <w:rPr>
          <w:rFonts w:ascii="Times New Roman" w:hAnsi="Times New Roman" w:eastAsia="Times New Roman"/>
          <w:b/>
          <w:i w:val="0"/>
          <w:color w:val="000000"/>
          <w:sz w:val="24"/>
        </w:rPr>
        <w:t>Declaration of competing interest</w:t>
      </w:r>
    </w:p>
    <w:p>
      <w:pPr>
        <w:spacing w:before="0" w:after="0" w:line="480" w:lineRule="auto"/>
        <w:ind w:firstLine="0"/>
        <w:jc w:val="both"/>
      </w:pPr>
      <w:r>
        <w:rPr>
          <w:rFonts w:ascii="Times New Roman" w:hAnsi="Times New Roman" w:eastAsia="Times New Roman"/>
          <w:b w:val="0"/>
          <w:i w:val="0"/>
          <w:color w:val="000000"/>
          <w:sz w:val="24"/>
        </w:rPr>
        <w:t>Declarations of interest: none</w:t>
      </w:r>
    </w:p>
    <w:p>
      <w:pPr>
        <w:pStyle w:val="Heading2"/>
        <w:spacing w:before="240" w:after="120" w:line="480" w:lineRule="auto"/>
        <w:ind w:firstLine="0"/>
        <w:jc w:val="left"/>
      </w:pPr>
      <w:r>
        <w:rPr>
          <w:rFonts w:ascii="Times New Roman" w:hAnsi="Times New Roman" w:eastAsia="Times New Roman"/>
          <w:b/>
          <w:i w:val="0"/>
          <w:color w:val="000000"/>
          <w:sz w:val="24"/>
        </w:rPr>
        <w:t>Declaration of generative AI and AI-assisted technologies in the manuscript preparation process</w:t>
      </w:r>
    </w:p>
    <w:p>
      <w:pPr>
        <w:spacing w:before="0" w:after="0" w:line="480" w:lineRule="auto"/>
        <w:ind w:firstLine="0"/>
        <w:jc w:val="both"/>
      </w:pPr>
      <w:r>
        <w:rPr>
          <w:rFonts w:ascii="Times New Roman" w:hAnsi="Times New Roman" w:eastAsia="Times New Roman"/>
          <w:b w:val="0"/>
          <w:i w:val="0"/>
          <w:color w:val="000000"/>
          <w:sz w:val="24"/>
        </w:rPr>
        <w:t>During the preparation of this work the author(s) used GLM-5.2 for grammatical correction and linguistic refinement. After using this tool/service, the author(s) reviewed and edited the content as needed and take(s) full responsibility for the publication's content.</w:t>
      </w:r>
    </w:p>
    <w:p>
      <w:pPr>
        <w:pStyle w:val="Heading2"/>
        <w:spacing w:before="240" w:after="120" w:line="480" w:lineRule="auto"/>
        <w:ind w:firstLine="0"/>
        <w:jc w:val="left"/>
      </w:pPr>
      <w:r>
        <w:rPr>
          <w:rFonts w:ascii="Times New Roman" w:hAnsi="Times New Roman" w:eastAsia="Times New Roman"/>
          <w:b/>
          <w:i w:val="0"/>
          <w:color w:val="000000"/>
          <w:sz w:val="24"/>
        </w:rPr>
        <w:t>Data availability</w:t>
      </w:r>
    </w:p>
    <w:p>
      <w:pPr>
        <w:spacing w:before="0" w:after="0" w:line="480" w:lineRule="auto"/>
        <w:ind w:firstLine="0"/>
        <w:jc w:val="both"/>
      </w:pPr>
      <w:r>
        <w:rPr>
          <w:rFonts w:ascii="Times New Roman" w:hAnsi="Times New Roman" w:eastAsia="Times New Roman"/>
          <w:b w:val="0"/>
          <w:i w:val="0"/>
          <w:color w:val="000000"/>
          <w:sz w:val="24"/>
        </w:rPr>
        <w:t>All data were downloaded from the World Bank World Development Indicators API (https://data.worldbank.org/) on the date of analysis. The Python scripts used to download, clean, analyze, and compile the manuscript are available at https://github.com/AcerisSolaIAS/trade-openness-growth-replication.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