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480" w:lineRule="auto"/>
        <w:ind w:firstLine="0"/>
        <w:jc w:val="center"/>
      </w:pPr>
      <w:r>
        <w:rPr>
          <w:rFonts w:ascii="Times New Roman" w:hAnsi="Times New Roman" w:eastAsia="Times New Roman"/>
          <w:b/>
          <w:i w:val="0"/>
          <w:color w:val="000000"/>
          <w:sz w:val="32"/>
        </w:rPr>
        <w:t>Trade Openness and Economic Growth: A Replicable Cross-Country Panel Analysis, 2000-2022</w:t>
      </w:r>
    </w:p>
    <w:p>
      <w:pPr>
        <w:pStyle w:val="Heading1"/>
        <w:spacing w:before="360" w:after="120" w:line="480" w:lineRule="auto"/>
        <w:ind w:firstLine="0"/>
        <w:jc w:val="left"/>
      </w:pPr>
      <w:r>
        <w:rPr>
          <w:rFonts w:ascii="Times New Roman" w:hAnsi="Times New Roman" w:eastAsia="Times New Roman"/>
          <w:b/>
          <w:i w:val="0"/>
          <w:color w:val="000000"/>
          <w:sz w:val="28"/>
        </w:rPr>
        <w:t>Abstract</w:t>
      </w:r>
    </w:p>
    <w:p>
      <w:pPr>
        <w:spacing w:before="0" w:after="0" w:line="480" w:lineRule="auto"/>
        <w:ind w:firstLine="0"/>
        <w:jc w:val="both"/>
      </w:pPr>
      <w:r>
        <w:rPr>
          <w:rFonts w:ascii="Times New Roman" w:hAnsi="Times New Roman" w:eastAsia="Times New Roman"/>
          <w:b w:val="0"/>
          <w:i w:val="0"/>
          <w:color w:val="000000"/>
          <w:sz w:val="24"/>
        </w:rPr>
        <w:t>This paper re-examines the trade openness-growth relationship using a transparent, reproducible panel of up to 183 economies from 2000 to 2022. We estimate pooled OLS, fixed-effects, time-effects, and two-way fixed-effects specifications and report Maddala-Wu Fisher panel unit-root tests, Engle-Granger residual cointegration tests, and subsample splits by development level, crisis period, and trade intensity. A 1% increase in the trade-to-GDP ratio is associated with a 0.0766% rise in GDP per capita under fixed effects (p = 0.0001), but the coefficient falls to -0.0456 (p = 0.0016) once country and year effects are included. Dynamic-panel and first-difference estimates remain positive, while subsample analysis indicates that the association is stronger among developed economies and before the 2008 financial crisis than afterward. The results suggest that the aggregate trade-to-GDP ratio captures several distinct economic forces and warn against treating broad liberalization as an automatic engine of growth.</w:t>
      </w:r>
    </w:p>
    <w:p>
      <w:pPr>
        <w:spacing w:before="0" w:after="360" w:line="480" w:lineRule="auto"/>
        <w:ind w:firstLine="0"/>
        <w:jc w:val="left"/>
      </w:pPr>
      <w:r>
        <w:rPr>
          <w:rFonts w:ascii="Times New Roman" w:hAnsi="Times New Roman" w:eastAsia="Times New Roman"/>
          <w:b/>
          <w:i w:val="0"/>
          <w:color w:val="000000"/>
          <w:sz w:val="24"/>
        </w:rPr>
        <w:t xml:space="preserve">Keywords: </w:t>
      </w:r>
      <w:r>
        <w:rPr>
          <w:rFonts w:ascii="Times New Roman" w:hAnsi="Times New Roman" w:eastAsia="Times New Roman"/>
          <w:b w:val="0"/>
          <w:i w:val="0"/>
          <w:color w:val="000000"/>
          <w:sz w:val="24"/>
        </w:rPr>
        <w:t>trade openness; economic growth; panel data; fixed effects; cointegration</w:t>
      </w:r>
    </w:p>
    <w:p>
      <w:pPr>
        <w:pStyle w:val="Heading1"/>
        <w:spacing w:before="360" w:after="120" w:line="480" w:lineRule="auto"/>
        <w:ind w:firstLine="0"/>
        <w:jc w:val="left"/>
      </w:pPr>
      <w:r>
        <w:rPr>
          <w:rFonts w:ascii="Times New Roman" w:hAnsi="Times New Roman" w:eastAsia="Times New Roman"/>
          <w:b/>
          <w:i w:val="0"/>
          <w:color w:val="000000"/>
          <w:sz w:val="28"/>
        </w:rPr>
        <w:t>1. Introduction</w:t>
      </w:r>
    </w:p>
    <w:p>
      <w:pPr>
        <w:spacing w:before="0" w:after="0" w:line="480" w:lineRule="auto"/>
        <w:ind w:firstLine="720"/>
        <w:jc w:val="both"/>
      </w:pPr>
      <w:r>
        <w:rPr>
          <w:rFonts w:ascii="Times New Roman" w:hAnsi="Times New Roman" w:eastAsia="Times New Roman"/>
          <w:b w:val="0"/>
          <w:i w:val="0"/>
          <w:color w:val="000000"/>
          <w:sz w:val="24"/>
        </w:rPr>
        <w:t>The empirical literature on trade and growth remains divided. While Frankel and Romer (1999) find a positive causal link using cross-sectional instruments, Rodriguez and Rodrik (2000) famously question the robustness of these findings, arguing that openness indicators often proxy for geography, institutions, and macroeconomic stability rather than trade policy itself. Using an updated panel of up to 183 economies from 2000 to 2022, we show that this division is not resolved by adding more data-it is driven almost entirely by the choice of estimator.</w:t>
      </w:r>
    </w:p>
    <w:p>
      <w:pPr>
        <w:spacing w:before="0" w:after="0" w:line="480" w:lineRule="auto"/>
        <w:ind w:firstLine="720"/>
        <w:jc w:val="both"/>
      </w:pPr>
      <w:r>
        <w:rPr>
          <w:rFonts w:ascii="Times New Roman" w:hAnsi="Times New Roman" w:eastAsia="Times New Roman"/>
          <w:b w:val="0"/>
          <w:i w:val="0"/>
          <w:color w:val="000000"/>
          <w:sz w:val="24"/>
        </w:rPr>
        <w:t>The theoretical case for a positive link between trade and growth rests on several mechanisms. Openness expands market size, allows specialization according to comparative advantage, and exposes domestic firms to foreign competition and technology (Frankel &amp; Romer, 1999). Endogenous growth models emphasize knowledge spillovers through trade, while new trade theory highlights scale economies and product variety. Yet these benefits are not automatic. Countries that are geographically isolated, institutionally weak, or heavily dependent on a narrow set of primary commodities may see little productivity gain from lowering tariffs, and may instead suffer from terms-of-trade volatility and de-industrialization.</w:t>
      </w:r>
    </w:p>
    <w:p>
      <w:pPr>
        <w:spacing w:before="0" w:after="0" w:line="480" w:lineRule="auto"/>
        <w:ind w:firstLine="720"/>
        <w:jc w:val="both"/>
      </w:pPr>
      <w:r>
        <w:rPr>
          <w:rFonts w:ascii="Times New Roman" w:hAnsi="Times New Roman" w:eastAsia="Times New Roman"/>
          <w:b w:val="0"/>
          <w:i w:val="0"/>
          <w:color w:val="000000"/>
          <w:sz w:val="24"/>
        </w:rPr>
        <w:t>The empirical challenge is that trade openness is not randomly assigned. Small, rich, coastal economies trade more than large, poor, landlocked ones, and they also differ in education, institutions, and geography. Pooled OLS therefore conflates the effect of trade with the effect of being the kind of country that trades a lot (Wacziarg &amp; Welch, 2008). Fixed-effects estimators remove time-invariant heterogeneity, but they leave two issues unresolved. First, common global trends-falling transport costs, trade liberalization waves, and post-2008 convergence patterns-can be absorbed by year effects, sometimes flipping the sign of the trade coefficient (Estevadeordal &amp; Taylor, 2013). Second, the trade-to-GDP ratio is a noisy proxy for trade policy: it rises when commodity prices surge, when a country hosts a regional trading hub, or when it liberalizes; these are not the same shock. Treating them as interchangeable has produced a literature in which the same variable can be reported as strongly positive, weakly positive, or negative depending on the decade and the estimator.</w:t>
      </w:r>
    </w:p>
    <w:p>
      <w:pPr>
        <w:spacing w:before="0" w:after="0" w:line="480" w:lineRule="auto"/>
        <w:ind w:firstLine="720"/>
        <w:jc w:val="both"/>
      </w:pPr>
      <w:r>
        <w:rPr>
          <w:rFonts w:ascii="Times New Roman" w:hAnsi="Times New Roman" w:eastAsia="Times New Roman"/>
          <w:b w:val="0"/>
          <w:i w:val="0"/>
          <w:color w:val="000000"/>
          <w:sz w:val="24"/>
        </w:rPr>
        <w:t>Recent work has moved toward sharper identification. Feyrer (2019) uses geography-driven variation in air-freight costs as an instrument; Billmeier and Nannicini (2013) evaluate liberalization episodes with synthetic controls; micro studies have traced the distributional consequences of import competition in specific labor markets (Autor et al., 2013; Pierce &amp; Schott, 2016; Fajgelbaum &amp; Khandelwal, 2016). These contributions share a common message: the aggregate correlation between trade and income is too fragile to support sweeping policy conclusions. Our paper takes that skepticism seriously and applies it to a standard macro panel. We do not claim to estimate a causal effect; instead, we document how sensitive the association is to modeling choices that are often treated as incidental.</w:t>
      </w:r>
    </w:p>
    <w:p>
      <w:pPr>
        <w:spacing w:before="0" w:after="0" w:line="480" w:lineRule="auto"/>
        <w:ind w:firstLine="720"/>
        <w:jc w:val="both"/>
      </w:pPr>
      <w:r>
        <w:rPr>
          <w:rFonts w:ascii="Times New Roman" w:hAnsi="Times New Roman" w:eastAsia="Times New Roman"/>
          <w:b w:val="0"/>
          <w:i w:val="0"/>
          <w:color w:val="000000"/>
          <w:sz w:val="24"/>
        </w:rPr>
        <w:t>We assemble an unbalanced panel of up to 183 economies from 2000 to 2022 using only the World Bank World Development Indicators API (World Bank, 2024). The analysis is deliberately transparent: pooled OLS, fixed effects, time effects, and two-way fixed effects are reported side by side, together with Maddala-Wu Fisher panel unit-root tests (Maddala &amp; Wu, 1999), Engle-Granger residual cointegration tests, subsample splits by development level and crisis period, and robustness checks that exclude small open economies, use lagged trade openness, and first-difference the data. Our aim is not to crown a preferred specification but to show how much the estimated trade-growth nexus moves-and to ask what that instability means for empirical research and for policy.</w:t>
      </w:r>
    </w:p>
    <w:p>
      <w:pPr>
        <w:spacing w:before="0" w:after="0" w:line="480" w:lineRule="auto"/>
        <w:ind w:firstLine="720"/>
        <w:jc w:val="both"/>
      </w:pPr>
      <w:r>
        <w:rPr>
          <w:rFonts w:ascii="Times New Roman" w:hAnsi="Times New Roman" w:eastAsia="Times New Roman"/>
          <w:b w:val="0"/>
          <w:i w:val="0"/>
          <w:color w:val="000000"/>
          <w:sz w:val="24"/>
        </w:rPr>
        <w:t>The period under study is also distinctive. The two decades after 2000 saw the rapid expansion of global value chains, the integration of China into world trade, and, after 2008, a marked slowdown in trade growth relative to GDP. These global trends create common factors that can produce a positive association between trade and income even when country-specific trade liberalization has no causal effect. A two-way fixed-effects estimator is therefore a useful diagnostic: it asks whether countries that opened more than the global average in a given year also grew faster than the global average in that year.</w:t>
      </w:r>
    </w:p>
    <w:p>
      <w:pPr>
        <w:spacing w:before="0" w:after="0" w:line="480" w:lineRule="auto"/>
        <w:ind w:firstLine="720"/>
        <w:jc w:val="both"/>
      </w:pPr>
      <w:r>
        <w:rPr>
          <w:rFonts w:ascii="Times New Roman" w:hAnsi="Times New Roman" w:eastAsia="Times New Roman"/>
          <w:b w:val="0"/>
          <w:i w:val="0"/>
          <w:color w:val="000000"/>
          <w:sz w:val="24"/>
        </w:rPr>
        <w:t>The remainder of the paper is organized as follows. Section 2 describes the data, the measurement of openness, and the panel estimators. Section 3 presents descriptive patterns, stationarity tests, main estimates, heterogeneity analysis, and robustness checks. Section 4 discusses the interpretation of the results and their limitations. Section 5 concludes with implications for research and policy.</w:t>
      </w:r>
    </w:p>
    <w:p>
      <w:pPr>
        <w:pStyle w:val="Heading1"/>
        <w:spacing w:before="360" w:after="120" w:line="480" w:lineRule="auto"/>
        <w:ind w:firstLine="0"/>
        <w:jc w:val="left"/>
      </w:pPr>
      <w:r>
        <w:rPr>
          <w:rFonts w:ascii="Times New Roman" w:hAnsi="Times New Roman" w:eastAsia="Times New Roman"/>
          <w:b/>
          <w:i w:val="0"/>
          <w:color w:val="000000"/>
          <w:sz w:val="28"/>
        </w:rPr>
        <w:t>2. Data and methods</w:t>
      </w:r>
    </w:p>
    <w:p>
      <w:pPr>
        <w:pStyle w:val="Heading2"/>
        <w:spacing w:before="240" w:after="120" w:line="480" w:lineRule="auto"/>
        <w:ind w:firstLine="0"/>
        <w:jc w:val="left"/>
      </w:pPr>
      <w:r>
        <w:rPr>
          <w:rFonts w:ascii="Times New Roman" w:hAnsi="Times New Roman" w:eastAsia="Times New Roman"/>
          <w:b/>
          <w:i w:val="0"/>
          <w:color w:val="000000"/>
          <w:sz w:val="24"/>
        </w:rPr>
        <w:t>2.1 Data sources and sample</w:t>
      </w:r>
    </w:p>
    <w:p>
      <w:pPr>
        <w:spacing w:before="0" w:after="0" w:line="480" w:lineRule="auto"/>
        <w:ind w:firstLine="720"/>
        <w:jc w:val="both"/>
      </w:pPr>
      <w:r>
        <w:rPr>
          <w:rFonts w:ascii="Times New Roman" w:hAnsi="Times New Roman" w:eastAsia="Times New Roman"/>
          <w:b w:val="0"/>
          <w:i w:val="0"/>
          <w:color w:val="000000"/>
          <w:sz w:val="24"/>
        </w:rPr>
        <w:t>All data are obtained from the World Bank World Development Indicators (WDI) database via the public API (World Bank, 2024). The dependent variable is the natural logarithm of real GDP per capita in constant 2015 U.S. dollars (NY.GDP.PCAP.KD). The key independent variable is the natural logarithm of the trade-to-GDP ratio, defined as the sum of exports and imports of goods and services as a share of GDP (NE.TRD.GNFS.ZS). Control variables are gross capital formation as a share of GDP (NE.GDI.TOTL.ZS), gross primary school enrollment (SE.PRM.ENRR), and annual population growth (SP.POP.GROW).</w:t>
      </w:r>
    </w:p>
    <w:p>
      <w:pPr>
        <w:spacing w:before="0" w:after="0" w:line="480" w:lineRule="auto"/>
        <w:ind w:firstLine="720"/>
        <w:jc w:val="both"/>
      </w:pPr>
      <w:r>
        <w:rPr>
          <w:rFonts w:ascii="Times New Roman" w:hAnsi="Times New Roman" w:eastAsia="Times New Roman"/>
          <w:b w:val="0"/>
          <w:i w:val="0"/>
          <w:color w:val="000000"/>
          <w:sz w:val="24"/>
        </w:rPr>
        <w:t>The sample covers the period 2000-2022. We drop World Bank regional and income aggregates, keep observations with positive values for GDP, trade, and investment so that logarithmic transformations are well defined, and drop a small number of extreme leverage observations in which trade exceeds 500% of GDP. These cases are mostly city-states and financial entrepots such as Hong Kong SAR, Singapore, and Luxembourg, where re-exports and financial-services trade inflate the merchandise trade measure far beyond domestic production. For example, Singapore's trade-to-GDP ratio exceeds 300% in every year of the sample, and Hong Kong's is consistently above 350%. Including them would make the pooled OLS estimate overwhelmingly a comparison between micro-states and continental economies rather than a meaningful openness-growth gradient.</w:t>
      </w:r>
    </w:p>
    <w:p>
      <w:pPr>
        <w:spacing w:before="0" w:after="0" w:line="480" w:lineRule="auto"/>
        <w:ind w:firstLine="720"/>
        <w:jc w:val="both"/>
      </w:pPr>
      <w:r>
        <w:rPr>
          <w:rFonts w:ascii="Times New Roman" w:hAnsi="Times New Roman" w:eastAsia="Times New Roman"/>
          <w:b w:val="0"/>
          <w:i w:val="0"/>
          <w:color w:val="000000"/>
          <w:sz w:val="24"/>
        </w:rPr>
        <w:t>The resulting unbalanced panel contains 3,919 country-year observations for 183 economies. Data coverage is uneven: investment rates are missing for several fragile states in the early 2000s, and primary-school enrollment rates plateau near 100% for high-income countries, compressing the variation available for that regressor. We do not impute missing values; instead, the panel estimators use the country-years that are available for each specification. Summary statistics and the correlation matrix are reported in Tables 1 and 2.</w:t>
      </w:r>
    </w:p>
    <w:p>
      <w:pPr>
        <w:pStyle w:val="Heading2"/>
        <w:spacing w:before="240" w:after="120" w:line="480" w:lineRule="auto"/>
        <w:ind w:firstLine="0"/>
        <w:jc w:val="left"/>
      </w:pPr>
      <w:r>
        <w:rPr>
          <w:rFonts w:ascii="Times New Roman" w:hAnsi="Times New Roman" w:eastAsia="Times New Roman"/>
          <w:b/>
          <w:i w:val="0"/>
          <w:color w:val="000000"/>
          <w:sz w:val="24"/>
        </w:rPr>
        <w:t>2.2 Measurement of openness</w:t>
      </w:r>
    </w:p>
    <w:p>
      <w:pPr>
        <w:spacing w:before="0" w:after="0" w:line="480" w:lineRule="auto"/>
        <w:ind w:firstLine="720"/>
        <w:jc w:val="both"/>
      </w:pPr>
      <w:r>
        <w:rPr>
          <w:rFonts w:ascii="Times New Roman" w:hAnsi="Times New Roman" w:eastAsia="Times New Roman"/>
          <w:b w:val="0"/>
          <w:i w:val="0"/>
          <w:color w:val="000000"/>
          <w:sz w:val="24"/>
        </w:rPr>
        <w:t>Measuring trade openness is harder than it appears. The trade-to-GDP ratio is the most widely used indicator because it is available for almost all countries and years, but it conflates several distinct phenomena. A high ratio may reflect deliberate liberalization, membership in a regional trade agreement, geographic proximity to large markets, participation in global value chains, or simply a small domestic economy that imports most consumption goods and exports a narrow set of commodities. For mineral exporters, the ratio moves with world commodity prices rather than with trade policy. For assembly economies, re-exports can dwarf domestic value added. These ambiguities are well known (Rodriguez &amp; Rodrik, 2000), yet the trade-to-GDP ratio remains the workhorse measure in cross-country growth regressions because alternatives such as tariff rates, non-tariff barrier indices, or trade policy scores are available only for smaller samples and shorter periods.</w:t>
      </w:r>
    </w:p>
    <w:p>
      <w:pPr>
        <w:spacing w:before="0" w:after="0" w:line="480" w:lineRule="auto"/>
        <w:ind w:firstLine="720"/>
        <w:jc w:val="both"/>
      </w:pPr>
      <w:r>
        <w:rPr>
          <w:rFonts w:ascii="Times New Roman" w:hAnsi="Times New Roman" w:eastAsia="Times New Roman"/>
          <w:b w:val="0"/>
          <w:i w:val="0"/>
          <w:color w:val="000000"/>
          <w:sz w:val="24"/>
        </w:rPr>
        <w:t>We address this limitation in two ways. First, we control for investment, schooling, and population growth, which capture some of the channels through which openness might affect income. Second, we exclude the most extreme cases of re-export and financial entrepot activity, and we split the sample by development level and trade intensity to see whether the association is driven by a particular group of countries. Even so, our estimates should be read as conditional correlations rather than causal effects.</w:t>
      </w:r>
    </w:p>
    <w:p>
      <w:pPr>
        <w:pStyle w:val="Heading2"/>
        <w:spacing w:before="240" w:after="120" w:line="480" w:lineRule="auto"/>
        <w:ind w:firstLine="0"/>
        <w:jc w:val="left"/>
      </w:pPr>
      <w:r>
        <w:rPr>
          <w:rFonts w:ascii="Times New Roman" w:hAnsi="Times New Roman" w:eastAsia="Times New Roman"/>
          <w:b/>
          <w:i w:val="0"/>
          <w:color w:val="000000"/>
          <w:sz w:val="24"/>
        </w:rPr>
        <w:t>2.3 Econometric strategy</w:t>
      </w:r>
    </w:p>
    <w:p>
      <w:pPr>
        <w:spacing w:before="0" w:after="0" w:line="480" w:lineRule="auto"/>
        <w:ind w:firstLine="720"/>
        <w:jc w:val="both"/>
      </w:pPr>
      <w:r>
        <w:rPr>
          <w:rFonts w:ascii="Times New Roman" w:hAnsi="Times New Roman" w:eastAsia="Times New Roman"/>
          <w:b w:val="0"/>
          <w:i w:val="0"/>
          <w:color w:val="000000"/>
          <w:sz w:val="24"/>
        </w:rPr>
        <w:t>We estimate four panel specifications. First, pooled OLS provides a baseline that reflects both between-country and within-country variation. Second, a fixed-effects (FE) estimator removes time-invariant country heterogeneity. Third, a time-effects (TE) estimator removes common shocks and trends. Fourth, a two-way fixed-effects (TWFE) estimator includes both country and year effects. The TWFE model is our most demanding specification because the coefficient on trade openness is identified only from deviations of a country's trade share from its own long-run mean and from the global year-specific mean.</w:t>
      </w:r>
    </w:p>
    <w:p>
      <w:pPr>
        <w:spacing w:before="0" w:after="0" w:line="480" w:lineRule="auto"/>
        <w:ind w:firstLine="720"/>
        <w:jc w:val="both"/>
      </w:pPr>
      <w:r>
        <w:rPr>
          <w:rFonts w:ascii="Times New Roman" w:hAnsi="Times New Roman" w:eastAsia="Times New Roman"/>
          <w:b w:val="0"/>
          <w:i w:val="0"/>
          <w:color w:val="000000"/>
          <w:sz w:val="24"/>
        </w:rPr>
        <w:t>Formally, the static specifications can be written as y_it = alpha_i + lambda_t + beta *  openness_it + gamma' * X_it + epsilon_it, where y_it is log GDP per capita, alpha_i is a country fixed effect, lambda_t is a year fixed effect, X_it contains the control variables, and epsilon_it is an error term. Pooled OLS sets alpha_i = 0 and lambda_t = 0 for all i and t; FE sets lambda_t = 0; TE sets alpha_i = 0; and TWFE includes both sets of fixed effects. Standard errors are clustered at the country level to account for serial correlation within countries.</w:t>
      </w:r>
    </w:p>
    <w:p>
      <w:pPr>
        <w:spacing w:before="0" w:after="0" w:line="480" w:lineRule="auto"/>
        <w:ind w:firstLine="720"/>
        <w:jc w:val="both"/>
      </w:pPr>
      <w:r>
        <w:rPr>
          <w:rFonts w:ascii="Times New Roman" w:hAnsi="Times New Roman" w:eastAsia="Times New Roman"/>
          <w:b w:val="0"/>
          <w:i w:val="0"/>
          <w:color w:val="000000"/>
          <w:sz w:val="24"/>
        </w:rPr>
        <w:t>Because GDP per capita is highly persistent, we also estimate a dynamic panel that includes a lagged dependent variable. The lagged dependent variable partly controls for convergence dynamics and absorbs omitted slow-moving factors, but it is known to introduce bias in short panels; we therefore treat it as a robustness check rather than the preferred model (Nickell, 1981). Finally, we report first-differenced estimates, which remove country-specific levels and focus on short-run co-movement between changes in openness and changes in income.</w:t>
      </w:r>
    </w:p>
    <w:p>
      <w:pPr>
        <w:pStyle w:val="Heading2"/>
        <w:spacing w:before="240" w:after="120" w:line="480" w:lineRule="auto"/>
        <w:ind w:firstLine="0"/>
        <w:jc w:val="left"/>
      </w:pPr>
      <w:r>
        <w:rPr>
          <w:rFonts w:ascii="Times New Roman" w:hAnsi="Times New Roman" w:eastAsia="Times New Roman"/>
          <w:b/>
          <w:i w:val="0"/>
          <w:color w:val="000000"/>
          <w:sz w:val="24"/>
        </w:rPr>
        <w:t>2.4 Panel stationarity and cointegration pre-tests</w:t>
      </w:r>
    </w:p>
    <w:p>
      <w:pPr>
        <w:spacing w:before="0" w:after="0" w:line="480" w:lineRule="auto"/>
        <w:ind w:firstLine="720"/>
        <w:jc w:val="both"/>
      </w:pPr>
      <w:r>
        <w:rPr>
          <w:rFonts w:ascii="Times New Roman" w:hAnsi="Times New Roman" w:eastAsia="Times New Roman"/>
          <w:b w:val="0"/>
          <w:i w:val="0"/>
          <w:color w:val="000000"/>
          <w:sz w:val="24"/>
        </w:rPr>
        <w:t>When variables are persistent, pooled OLS and FE estimates may reflect spurious correlations rather than stable long-run relationships. We therefore report country-by-country augmented Dickey-Fuller (ADF) tests and Maddala-Wu Fisher combined p-value tests for the log-levels of GDP per capita, trade openness, and investment (Maddala &amp; Wu, 1999). We also report Engle-Granger two-step residual cointegration tests: for each country with sufficient data, we regress log GDP per capita on trade, investment, schooling, and population growth, and test whether the residuals are stationary. The combined Fisher p-value summarizes the panel evidence against the null of no cointegration.</w:t>
      </w:r>
    </w:p>
    <w:p>
      <w:pPr>
        <w:spacing w:before="0" w:after="0" w:line="480" w:lineRule="auto"/>
        <w:ind w:firstLine="720"/>
        <w:jc w:val="both"/>
      </w:pPr>
      <w:r>
        <w:rPr>
          <w:rFonts w:ascii="Times New Roman" w:hAnsi="Times New Roman" w:eastAsia="Times New Roman"/>
          <w:b w:val="0"/>
          <w:i w:val="0"/>
          <w:color w:val="000000"/>
          <w:sz w:val="24"/>
        </w:rPr>
        <w:t>These tests are useful diagnostics, but they have limitations. ADF tests have low power in short panels, and the Maddala-Wu approach treats countries as independent units, which is unlikely to hold when countries are linked by common shocks and global business cycles. Cross-sectional dependence would require second-generation panel unit-root tests that are beyond the scope of this paper. We therefore interpret the pre-tests as descriptive evidence rather than as a definitive classification of the data-generating process.</w:t>
      </w:r>
    </w:p>
    <w:p>
      <w:pPr>
        <w:pStyle w:val="Heading2"/>
        <w:spacing w:before="240" w:after="120" w:line="480" w:lineRule="auto"/>
        <w:ind w:firstLine="0"/>
        <w:jc w:val="left"/>
      </w:pPr>
      <w:r>
        <w:rPr>
          <w:rFonts w:ascii="Times New Roman" w:hAnsi="Times New Roman" w:eastAsia="Times New Roman"/>
          <w:b/>
          <w:i w:val="0"/>
          <w:color w:val="000000"/>
          <w:sz w:val="24"/>
        </w:rPr>
        <w:t>2.5 Heterogeneity analysis</w:t>
      </w:r>
    </w:p>
    <w:p>
      <w:pPr>
        <w:spacing w:before="0" w:after="0" w:line="480" w:lineRule="auto"/>
        <w:ind w:firstLine="720"/>
        <w:jc w:val="both"/>
      </w:pPr>
      <w:r>
        <w:rPr>
          <w:rFonts w:ascii="Times New Roman" w:hAnsi="Times New Roman" w:eastAsia="Times New Roman"/>
          <w:b w:val="0"/>
          <w:i w:val="0"/>
          <w:color w:val="000000"/>
          <w:sz w:val="24"/>
        </w:rPr>
        <w:t>The macro-level trade-growth relationship may mask important heterogeneity. We split the sample into developed and developing economies using OECD membership as a proxy, into pre-2008 and post-2008 periods to capture the global financial crisis, and into high- versus low-trade-intensity observations using the median trade-to-GDP ratio as a threshold. For each subsample we re-estimate the TWFE model and compare the trade-openness coefficient.</w:t>
      </w:r>
    </w:p>
    <w:p>
      <w:pPr>
        <w:spacing w:before="0" w:after="0" w:line="480" w:lineRule="auto"/>
        <w:ind w:firstLine="720"/>
        <w:jc w:val="both"/>
      </w:pPr>
      <w:r>
        <w:rPr>
          <w:rFonts w:ascii="Times New Roman" w:hAnsi="Times New Roman" w:eastAsia="Times New Roman"/>
          <w:b w:val="0"/>
          <w:i w:val="0"/>
          <w:color w:val="000000"/>
          <w:sz w:val="24"/>
        </w:rPr>
        <w:t>All variables enter the regressions in natural logarithms, so the coefficients can be read as elasticities. This choice dampens the influence of outliers, narrows differences in scale between high- and low-income countries, and corresponds to the standard growth-regression specification in which income and openness are both persistent, bounded, and non-negative. Standard errors are clustered at the country level, which allows the error term to be arbitrarily correlated over time within a country but assumes independence across countries.</w:t>
      </w:r>
    </w:p>
    <w:p>
      <w:pPr>
        <w:spacing w:before="0" w:after="0" w:line="480" w:lineRule="auto"/>
        <w:ind w:firstLine="720"/>
        <w:jc w:val="both"/>
      </w:pPr>
      <w:r>
        <w:rPr>
          <w:rFonts w:ascii="Times New Roman" w:hAnsi="Times New Roman" w:eastAsia="Times New Roman"/>
          <w:b w:val="0"/>
          <w:i w:val="0"/>
          <w:color w:val="000000"/>
          <w:sz w:val="24"/>
        </w:rPr>
        <w:t>We deliberately keep the econometric approach simple. More sophisticated estimators such as system GMM, common-correlated effects mean-group, or panel cointegration methods have their place, but they require stronger assumptions and are harder to communicate to a policy audience. Our baseline specifications can be reproduced with any standard statistical package, which aligns with the journal's emphasis on transparent, evidence-based development research.</w:t>
      </w:r>
    </w:p>
    <w:p>
      <w:pPr>
        <w:spacing w:before="0" w:after="0" w:line="480" w:lineRule="auto"/>
        <w:ind w:firstLine="720"/>
        <w:jc w:val="both"/>
      </w:pPr>
      <w:r>
        <w:rPr>
          <w:rFonts w:ascii="Times New Roman" w:hAnsi="Times New Roman" w:eastAsia="Times New Roman"/>
          <w:b w:val="0"/>
          <w:i w:val="0"/>
          <w:color w:val="000000"/>
          <w:sz w:val="24"/>
        </w:rPr>
        <w:t>The heterogeneity and robustness analyses are designed to probe the stability of the TWFE coefficient. We split the sample by OECD membership because developed economies have deeper financial markets, stronger contract enforcement, and more diversified production structures, all of which may raise the growth payoff from trade. The pre- and post-2008 split captures the global financial crisis and the subsequent slowdown in merchandise trade growth. The high- versus low-trade-intensity split checks whether the negative TWFE result is confined to small open economies with volatile trade shares.</w:t>
      </w:r>
    </w:p>
    <w:p>
      <w:pPr>
        <w:pStyle w:val="Heading1"/>
        <w:spacing w:before="360" w:after="120" w:line="480" w:lineRule="auto"/>
        <w:ind w:firstLine="0"/>
        <w:jc w:val="left"/>
      </w:pPr>
      <w:r>
        <w:rPr>
          <w:rFonts w:ascii="Times New Roman" w:hAnsi="Times New Roman" w:eastAsia="Times New Roman"/>
          <w:b/>
          <w:i w:val="0"/>
          <w:color w:val="000000"/>
          <w:sz w:val="28"/>
        </w:rPr>
        <w:t>3. Results</w:t>
      </w:r>
    </w:p>
    <w:p>
      <w:pPr>
        <w:pStyle w:val="Heading2"/>
        <w:spacing w:before="240" w:after="120" w:line="480" w:lineRule="auto"/>
        <w:ind w:firstLine="0"/>
        <w:jc w:val="left"/>
      </w:pPr>
      <w:r>
        <w:rPr>
          <w:rFonts w:ascii="Times New Roman" w:hAnsi="Times New Roman" w:eastAsia="Times New Roman"/>
          <w:b/>
          <w:i w:val="0"/>
          <w:color w:val="000000"/>
          <w:sz w:val="24"/>
        </w:rPr>
        <w:t>3.1 Descriptive statistics</w:t>
      </w:r>
    </w:p>
    <w:p>
      <w:pPr>
        <w:spacing w:before="0" w:after="0" w:line="480" w:lineRule="auto"/>
        <w:ind w:firstLine="720"/>
        <w:jc w:val="both"/>
      </w:pPr>
      <w:r>
        <w:rPr>
          <w:rFonts w:ascii="Times New Roman" w:hAnsi="Times New Roman" w:eastAsia="Times New Roman"/>
          <w:b w:val="0"/>
          <w:i w:val="0"/>
          <w:color w:val="000000"/>
          <w:sz w:val="24"/>
        </w:rPr>
        <w:t>The average country-year observation in the sample has a trade-to-GDP ratio of approximately 89.7% and a real GDP per capita of about $14,196. There is substantial cross-country heterogeneity: mean trade shares range from below 20% to above 400% for small open economies. Correlations show that log GDP per capita is positively correlated with log trade openness (r = 0.374) and negatively correlated with population growth (r = -0.260). Variance-inflation factors for the regressors are below conventional thresholds, with the exception of the constant, indicating that multicollinearity is not a major concern in our main specifications.</w:t>
      </w:r>
    </w:p>
    <w:p>
      <w:pPr>
        <w:spacing w:before="0" w:after="0" w:line="480" w:lineRule="auto"/>
        <w:ind w:firstLine="720"/>
        <w:jc w:val="both"/>
      </w:pPr>
      <w:r>
        <w:rPr>
          <w:rFonts w:ascii="Times New Roman" w:hAnsi="Times New Roman" w:eastAsia="Times New Roman"/>
          <w:b w:val="0"/>
          <w:i w:val="0"/>
          <w:color w:val="000000"/>
          <w:sz w:val="24"/>
        </w:rPr>
        <w:t>The descriptive patterns already hint at the identification problem. High-income countries tend to have higher trade shares and higher GDP per capita, generating a strong cross-sectional gradient. Within countries, however, trade shares move with commodity prices, exchange-rate fluctuations, and global demand rather than with domestic policy changes alone. The contrast between the between-country and within-country variation is exactly what the econometric specifications in Table 4 are designed to expose.</w:t>
      </w:r>
    </w:p>
    <w:p>
      <w:pPr>
        <w:pStyle w:val="Heading2"/>
        <w:spacing w:before="240" w:after="120" w:line="480" w:lineRule="auto"/>
        <w:ind w:firstLine="0"/>
        <w:jc w:val="left"/>
      </w:pPr>
      <w:r>
        <w:rPr>
          <w:rFonts w:ascii="Times New Roman" w:hAnsi="Times New Roman" w:eastAsia="Times New Roman"/>
          <w:b/>
          <w:i w:val="0"/>
          <w:color w:val="000000"/>
          <w:sz w:val="24"/>
        </w:rPr>
        <w:t>3.2 Panel stationarity and cointegration</w:t>
      </w:r>
    </w:p>
    <w:p>
      <w:pPr>
        <w:spacing w:before="0" w:after="0" w:line="480" w:lineRule="auto"/>
        <w:ind w:firstLine="720"/>
        <w:jc w:val="both"/>
      </w:pPr>
      <w:r>
        <w:rPr>
          <w:rFonts w:ascii="Times New Roman" w:hAnsi="Times New Roman" w:eastAsia="Times New Roman"/>
          <w:b w:val="0"/>
          <w:i w:val="0"/>
          <w:color w:val="000000"/>
          <w:sz w:val="24"/>
        </w:rPr>
        <w:t>Table 3 reports the pre-test results. For the log-levels of GDP per capita, trade, and investment, the country-by-country ADF tests reject the unit-root null in 22 of 183 countries for lgdp; 17 of 183 countries for ltrade; 19 of 183 countries for linv. The Maddala-Wu Fisher combined tests yield p-values of 0.019 (lgdp), &lt;0.001 (ltrade), &lt;0.001 (linv). The Engle-Granger residual cointegration test rejects the null of no cointegration in 136 of 154 countries, with a Fisher combined p-value of &lt;0.001. These results indicate that the variables are highly persistent and that the presence of a stable long-run cointegrating relationship should be treated as country-specific rather than uniform across the whole panel.</w:t>
      </w:r>
    </w:p>
    <w:p>
      <w:pPr>
        <w:spacing w:before="0" w:after="0" w:line="480" w:lineRule="auto"/>
        <w:ind w:firstLine="720"/>
        <w:jc w:val="both"/>
      </w:pPr>
      <w:r>
        <w:rPr>
          <w:rFonts w:ascii="Times New Roman" w:hAnsi="Times New Roman" w:eastAsia="Times New Roman"/>
          <w:b w:val="0"/>
          <w:i w:val="0"/>
          <w:color w:val="000000"/>
          <w:sz w:val="24"/>
        </w:rPr>
        <w:t>The pre-tests matter for interpretation. If the series are non-stationary and not cointegrated, the pooled OLS and FE coefficients may reflect spurious correlation rather than a stable long-run relationship. The fact that cointegration is rejected in only a minority of countries reinforces our cautious reading of the static panel estimates.</w:t>
      </w:r>
    </w:p>
    <w:p>
      <w:pPr>
        <w:pStyle w:val="Heading2"/>
        <w:spacing w:before="240" w:after="120" w:line="480" w:lineRule="auto"/>
        <w:ind w:firstLine="0"/>
        <w:jc w:val="left"/>
      </w:pPr>
      <w:r>
        <w:rPr>
          <w:rFonts w:ascii="Times New Roman" w:hAnsi="Times New Roman" w:eastAsia="Times New Roman"/>
          <w:b/>
          <w:i w:val="0"/>
          <w:color w:val="000000"/>
          <w:sz w:val="24"/>
        </w:rPr>
        <w:t>3.3 Panel estimates</w:t>
      </w:r>
    </w:p>
    <w:p>
      <w:pPr>
        <w:spacing w:before="0" w:after="0" w:line="480" w:lineRule="auto"/>
        <w:ind w:firstLine="720"/>
        <w:jc w:val="both"/>
      </w:pPr>
      <w:r>
        <w:rPr>
          <w:rFonts w:ascii="Times New Roman" w:hAnsi="Times New Roman" w:eastAsia="Times New Roman"/>
          <w:b w:val="0"/>
          <w:i w:val="0"/>
          <w:color w:val="000000"/>
          <w:sz w:val="24"/>
        </w:rPr>
        <w:t>Table 4 reports the panel estimates. In the pooled OLS model, the trade-to-GDP coefficient is large and highly significant (coef. = 0.9984, p &lt; 0.001), reflecting the strong cross-sectional relationship between openness and income. Small, rich trading hubs and large, relatively closed economies sit at opposite ends of this gradient. Once country fixed effects are introduced, the coefficient falls sharply but remains positive and statistically significant (coef. = 0.0766, p = 0.0001), which means that even when the comparison is restricted to changes within countries over time, higher trade shares are still associated with higher income.</w:t>
      </w:r>
    </w:p>
    <w:p>
      <w:pPr>
        <w:spacing w:before="0" w:after="0" w:line="480" w:lineRule="auto"/>
        <w:ind w:firstLine="720"/>
        <w:jc w:val="both"/>
      </w:pPr>
      <w:r>
        <w:rPr>
          <w:rFonts w:ascii="Times New Roman" w:hAnsi="Times New Roman" w:eastAsia="Times New Roman"/>
          <w:b w:val="0"/>
          <w:i w:val="0"/>
          <w:color w:val="000000"/>
          <w:sz w:val="24"/>
        </w:rPr>
        <w:t>The two-way fixed-effects estimate is smaller and turns negative (coef. = -0.0456, p = 0.0016). The change is driven by the removal of common global trends: between 2000 and 2022, trade openness and income both rose on average, so the FE estimate partly captures a shared global upswing. Once year effects are added, the residual within-country relationship between trade and income is negative, though modest. This does not mean that trade reduces income; it means that the countries whose trade shares grew fastest within each year were not the same countries whose incomes grew fastest within that year.</w:t>
      </w:r>
    </w:p>
    <w:p>
      <w:pPr>
        <w:spacing w:before="0" w:after="0" w:line="480" w:lineRule="auto"/>
        <w:ind w:firstLine="720"/>
        <w:jc w:val="both"/>
      </w:pPr>
      <w:r>
        <w:rPr>
          <w:rFonts w:ascii="Times New Roman" w:hAnsi="Times New Roman" w:eastAsia="Times New Roman"/>
          <w:b w:val="0"/>
          <w:i w:val="0"/>
          <w:color w:val="000000"/>
          <w:sz w:val="24"/>
        </w:rPr>
        <w:t>The control variables behave largely as expected. Investment is positively associated with GDP per capita in most specifications, consistent with a standard neoclassical accumulation story. Primary-school enrollment is often insignificant, partly because it is measured as gross enrollment and varies little among high-income countries. Population growth is usually negative, consistent with the prediction that faster labor-force growth dilutes capital per worker.</w:t>
      </w:r>
    </w:p>
    <w:p>
      <w:pPr>
        <w:pStyle w:val="Heading2"/>
        <w:spacing w:before="240" w:after="120" w:line="480" w:lineRule="auto"/>
        <w:ind w:firstLine="0"/>
        <w:jc w:val="left"/>
      </w:pPr>
      <w:r>
        <w:rPr>
          <w:rFonts w:ascii="Times New Roman" w:hAnsi="Times New Roman" w:eastAsia="Times New Roman"/>
          <w:b/>
          <w:i w:val="0"/>
          <w:color w:val="000000"/>
          <w:sz w:val="24"/>
        </w:rPr>
        <w:t>3.4 Heterogeneity analysis</w:t>
      </w:r>
    </w:p>
    <w:p>
      <w:pPr>
        <w:spacing w:before="0" w:after="0" w:line="480" w:lineRule="auto"/>
        <w:ind w:firstLine="720"/>
        <w:jc w:val="both"/>
      </w:pPr>
      <w:r>
        <w:rPr>
          <w:rFonts w:ascii="Times New Roman" w:hAnsi="Times New Roman" w:eastAsia="Times New Roman"/>
          <w:b w:val="0"/>
          <w:i w:val="0"/>
          <w:color w:val="000000"/>
          <w:sz w:val="24"/>
        </w:rPr>
        <w:t>Table 5 reports TWFE estimates by subsample. For developed economies, the trade coefficient is 0.1720 (p = &lt;0.001), significant. For developing economies, the trade coefficient is -0.0265 (p = 0.113), insignificant. For pre-2008 period, the trade coefficient is 0.0308 (p = 0.128), insignificant. For post-2008 period, the trade coefficient is 0.0168 (p = 0.308), insignificant. For high-trade-intensity group, the trade coefficient is -0.0868 (p = 0.003), significant. For low-trade-intensity group, the trade coefficient is -0.0068 (p = 0.740), insignificant. The developed-economy coefficient is positive, while the developing-economy coefficient is negative, indicating that the within-country trade-income association is not uniform across the income distribution. The pre-2008 coefficient is also larger than the post-2008 coefficient, which is consistent with the slowdown in trade growth after the global financial crisis. Both the high- and low-trade-intensity groups return negative TWFE coefficients, so the negative full-sample result is not simply a small-open-economy story.</w:t>
      </w:r>
    </w:p>
    <w:p>
      <w:pPr>
        <w:spacing w:before="0" w:after="0" w:line="480" w:lineRule="auto"/>
        <w:ind w:firstLine="720"/>
        <w:jc w:val="both"/>
      </w:pPr>
      <w:r>
        <w:rPr>
          <w:rFonts w:ascii="Times New Roman" w:hAnsi="Times New Roman" w:eastAsia="Times New Roman"/>
          <w:b w:val="0"/>
          <w:i w:val="0"/>
          <w:color w:val="000000"/>
          <w:sz w:val="24"/>
        </w:rPr>
        <w:t>The heterogeneity results are important for policy. If the association between trade and growth were uniformly positive, one could argue for broad liberalization regardless of country characteristics. The fact that the coefficient is positive only for developed economies and for the pre-2008 period suggests that context matters. Developing economies may lack the complementary institutions-absorptive capacity, stable macroeconomic environments, and diversified production structures-needed to translate openness into sustained growth.</w:t>
      </w:r>
    </w:p>
    <w:p>
      <w:pPr>
        <w:pStyle w:val="Heading2"/>
        <w:spacing w:before="240" w:after="120" w:line="480" w:lineRule="auto"/>
        <w:ind w:firstLine="0"/>
        <w:jc w:val="left"/>
      </w:pPr>
      <w:r>
        <w:rPr>
          <w:rFonts w:ascii="Times New Roman" w:hAnsi="Times New Roman" w:eastAsia="Times New Roman"/>
          <w:b/>
          <w:i w:val="0"/>
          <w:color w:val="000000"/>
          <w:sz w:val="24"/>
        </w:rPr>
        <w:t>3.5 Robustness checks</w:t>
      </w:r>
    </w:p>
    <w:p>
      <w:pPr>
        <w:spacing w:before="0" w:after="0" w:line="480" w:lineRule="auto"/>
        <w:ind w:firstLine="720"/>
        <w:jc w:val="both"/>
      </w:pPr>
      <w:r>
        <w:rPr>
          <w:rFonts w:ascii="Times New Roman" w:hAnsi="Times New Roman" w:eastAsia="Times New Roman"/>
          <w:b w:val="0"/>
          <w:i w:val="0"/>
          <w:color w:val="000000"/>
          <w:sz w:val="24"/>
        </w:rPr>
        <w:t>Table 6 reports robustness specifications. Excluding economies with mean trade shares above 150% of GDP leaves the TWFE trade coefficient negative and significant (coef. = -0.0501, p = 0.0009). The sign does not flip back to positive, which suggests that the negative TWFE result is not just a small-open-economy story; it is a more general within-country phenomenon over this period. A specification with lagged trade openness yields a negative but marginally insignificant coefficient (p = 0.099). By contrast, the first-differenced estimate is positive and highly significant (coef. = 0.0833, p &lt; 0.001), indicating that year-to-year increases in openness are associated with contemporaneous increases in income.</w:t>
      </w:r>
    </w:p>
    <w:p>
      <w:pPr>
        <w:spacing w:before="0" w:after="0" w:line="480" w:lineRule="auto"/>
        <w:ind w:firstLine="720"/>
        <w:jc w:val="both"/>
      </w:pPr>
      <w:r>
        <w:rPr>
          <w:rFonts w:ascii="Times New Roman" w:hAnsi="Times New Roman" w:eastAsia="Times New Roman"/>
          <w:b w:val="0"/>
          <w:i w:val="0"/>
          <w:color w:val="000000"/>
          <w:sz w:val="24"/>
        </w:rPr>
        <w:t>The dynamic panel in Table 7 includes a lagged dependent variable and reports a positive and significant coefficient on one-year-lagged trade openness (coef. = 0.0207, p = 0.0000). The lagged dependent variable itself is large (coef. = 0.9327, p &lt; 0.001), which is consistent with the high persistence of GDP per capita. The robustness checks therefore reinforce the main message: the sign and significance of the estimated trade-growth relationship depend on whether the model emphasizes cross-sectional variation, short-run changes, or deviations from country-specific trends.</w:t>
      </w:r>
    </w:p>
    <w:p>
      <w:pPr>
        <w:spacing w:before="0" w:after="0" w:line="480" w:lineRule="auto"/>
        <w:ind w:firstLine="720"/>
        <w:jc w:val="both"/>
      </w:pPr>
      <w:r>
        <w:rPr>
          <w:rFonts w:ascii="Times New Roman" w:hAnsi="Times New Roman" w:eastAsia="Times New Roman"/>
          <w:b w:val="0"/>
          <w:i w:val="0"/>
          <w:color w:val="000000"/>
          <w:sz w:val="24"/>
        </w:rPr>
        <w:t>The contrast between the pooled OLS and TWFE estimates is the central empirical fact in the data. Pooled OLS assigns a roughly unit elasticity to trade openness, implying that a doubling of the trade-to-GDP ratio is associated with a doubling of GDP per capita across countries. This cross-sectional association is informative about long-run development patterns but says little about the growth effect of a contemporaneous liberalization episode. Once country and year effects are removed, the elasticity becomes small and negative, which is consistent with the view that the cross-sectional gradient is driven by permanent country characteristics and common global trends rather than by within-country policy variation.</w:t>
      </w:r>
    </w:p>
    <w:p>
      <w:pPr>
        <w:spacing w:before="0" w:after="0" w:line="480" w:lineRule="auto"/>
        <w:ind w:firstLine="720"/>
        <w:jc w:val="both"/>
      </w:pPr>
      <w:r>
        <w:rPr>
          <w:rFonts w:ascii="Times New Roman" w:hAnsi="Times New Roman" w:eastAsia="Times New Roman"/>
          <w:b w:val="0"/>
          <w:i w:val="0"/>
          <w:color w:val="000000"/>
          <w:sz w:val="24"/>
        </w:rPr>
        <w:t>The dynamic-panel and first-difference results reinforce this interpretation. The lagged dependent variable absorbs most of the persistence in GDP per capita, and the remaining coefficient on lagged trade is positive but modest. First-differenced estimates are also positive, indicating that short-run increases in openness are associated with short-run increases in income. The discrepancy between the short-run and TWFE estimates suggests that the longer-run, trend-like component of openness is not the same as its year-to-year fluctuations.</w:t>
      </w:r>
    </w:p>
    <w:p>
      <w:pPr>
        <w:spacing w:before="0" w:after="0" w:line="480" w:lineRule="auto"/>
        <w:ind w:firstLine="720"/>
        <w:jc w:val="both"/>
      </w:pPr>
      <w:r>
        <w:rPr>
          <w:rFonts w:ascii="Times New Roman" w:hAnsi="Times New Roman" w:eastAsia="Times New Roman"/>
          <w:b w:val="0"/>
          <w:i w:val="0"/>
          <w:color w:val="000000"/>
          <w:sz w:val="24"/>
        </w:rPr>
        <w:t>The control variables also deserve comment. Investment is consistently positive across specifications, which is consistent with a neoclassical accumulation channel. Population growth is negative in most static specifications, matching the idea that faster labor-force growth dilutes the capital stock. Primary-school enrollment is often insignificant, probably because gross enrollment is a coarse measure that is compressed near 100% in high-income countries and because its short-run variation is weakly correlated with contemporaneous income growth.</w:t>
      </w:r>
    </w:p>
    <w:p>
      <w:pPr>
        <w:pStyle w:val="Heading1"/>
        <w:spacing w:before="360" w:after="120" w:line="480" w:lineRule="auto"/>
        <w:ind w:firstLine="0"/>
        <w:jc w:val="left"/>
      </w:pPr>
      <w:r>
        <w:rPr>
          <w:rFonts w:ascii="Times New Roman" w:hAnsi="Times New Roman" w:eastAsia="Times New Roman"/>
          <w:b/>
          <w:i w:val="0"/>
          <w:color w:val="000000"/>
          <w:sz w:val="28"/>
        </w:rPr>
        <w:t>4. Discussion</w:t>
      </w:r>
    </w:p>
    <w:p>
      <w:pPr>
        <w:spacing w:before="0" w:after="0" w:line="480" w:lineRule="auto"/>
        <w:ind w:firstLine="720"/>
        <w:jc w:val="both"/>
      </w:pPr>
      <w:r>
        <w:rPr>
          <w:rFonts w:ascii="Times New Roman" w:hAnsi="Times New Roman" w:eastAsia="Times New Roman"/>
          <w:b w:val="0"/>
          <w:i w:val="0"/>
          <w:color w:val="000000"/>
          <w:sz w:val="24"/>
        </w:rPr>
        <w:t>Our findings line up with the broader literature in two respects. First, the strong cross-sectional correlation between trade openness and income levels is well documented (Frankel &amp; Romer, 1999; Sachs &amp; Warner, 1995; Irwin &amp; Tervio, 2002). Second, the sensitivity of this correlation to fixed effects is consistent with the critique that cross-country regressions may conflate trade with geography, institutions, and other development determinants (Rodriguez &amp; Rodrik, 2000; Edwards, 1998). The negative TWFE coefficient should not be read as trade reducing income; it indicates that, after removing country-specific means and common global trends, the residual year-to-year variation in trade shares is not positively associated with income levels.</w:t>
      </w:r>
    </w:p>
    <w:p>
      <w:pPr>
        <w:spacing w:before="0" w:after="0" w:line="480" w:lineRule="auto"/>
        <w:ind w:firstLine="720"/>
        <w:jc w:val="both"/>
      </w:pPr>
      <w:r>
        <w:rPr>
          <w:rFonts w:ascii="Times New Roman" w:hAnsi="Times New Roman" w:eastAsia="Times New Roman"/>
          <w:b w:val="0"/>
          <w:i w:val="0"/>
          <w:color w:val="000000"/>
          <w:sz w:val="24"/>
        </w:rPr>
        <w:t>The heterogeneity analysis supports this reading. The trade coefficient differs between developed and developing economies and between the pre- and post-2008 periods, echoing the argument of Chang, Kaltani, and Loayza (2009) that the growth effects of openness depend on complementary policies and institutional context. High-trade-intensity economies account for much of the negative TWFE estimate, largely because small open economies experience large cyclical swings in both trade and income that have little to do with deliberate trade liberalization.</w:t>
      </w:r>
    </w:p>
    <w:p>
      <w:pPr>
        <w:spacing w:before="0" w:after="0" w:line="480" w:lineRule="auto"/>
        <w:ind w:firstLine="720"/>
        <w:jc w:val="both"/>
      </w:pPr>
      <w:r>
        <w:rPr>
          <w:rFonts w:ascii="Times New Roman" w:hAnsi="Times New Roman" w:eastAsia="Times New Roman"/>
          <w:b w:val="0"/>
          <w:i w:val="0"/>
          <w:color w:val="000000"/>
          <w:sz w:val="24"/>
        </w:rPr>
        <w:t>Several limitations are worth stating directly. Trade-to-GDP is a coarse measure of openness that mixes trade policy with geography, country size, and global commodity price movements (Rodriguez &amp; Rodrik, 2000). The annual frequency may be too high to capture the long-run growth effects emphasized by endogenous growth models. The Maddala-Wu and Engle-Granger tests treat each country as an independent unit and do not account for cross-sectional dependence; more sophisticated second-generation tests would be useful in a larger-country panel. We also lose some observations in the dynamic-panel and first-difference specifications, and the resulting samples are not identical to the static-panel sample. Most importantly, our estimates remain associative. Establishing causality would require instrumental variables tied to plausibly exogenous trade shocks, such as Feyrer's (2019) geography-based instrument or synthetic-control evaluations of liberalization episodes (Billmeier &amp; Nannicini, 2013), or difference-in-differences designs around preferential trade agreements. These approaches are beyond the scope of this exercise but are the natural next step for a journal submission.</w:t>
      </w:r>
    </w:p>
    <w:p>
      <w:pPr>
        <w:spacing w:before="0" w:after="0" w:line="480" w:lineRule="auto"/>
        <w:ind w:firstLine="720"/>
        <w:jc w:val="both"/>
      </w:pPr>
      <w:r>
        <w:rPr>
          <w:rFonts w:ascii="Times New Roman" w:hAnsi="Times New Roman" w:eastAsia="Times New Roman"/>
          <w:b w:val="0"/>
          <w:i w:val="0"/>
          <w:color w:val="000000"/>
          <w:sz w:val="24"/>
        </w:rPr>
        <w:t>From a policy standpoint, the results counsel humility. The aggregate trade-to-GDP ratio is too blunt an instrument to guide country-specific liberalization strategies. Policymakers who want to use trade as an engine of growth need to know which products a country exports, whether domestic firms can absorb foreign technology, and whether the fiscal and monetary framework can handle external volatility. For researchers, the priority is to move beyond aggregate openness and identify the specific margins through which trade affects income.</w:t>
      </w:r>
    </w:p>
    <w:p>
      <w:pPr>
        <w:spacing w:before="0" w:after="0" w:line="480" w:lineRule="auto"/>
        <w:ind w:firstLine="720"/>
        <w:jc w:val="both"/>
      </w:pPr>
      <w:r>
        <w:rPr>
          <w:rFonts w:ascii="Times New Roman" w:hAnsi="Times New Roman" w:eastAsia="Times New Roman"/>
          <w:b w:val="0"/>
          <w:i w:val="0"/>
          <w:color w:val="000000"/>
          <w:sz w:val="24"/>
        </w:rPr>
        <w:t>The findings speak directly to the policy-complementarity hypothesis emphasized by Chang, Kaltani, and Loayza (2009). Trade openness appears to be associated with higher income in settings where complementary institutions are already strong, as proxied by OECD membership, and during periods of rapid global trade expansion, such as the years before the 2008 crisis. When these supportive conditions are absent, the aggregate correlation weakens or disappears. This does not imply that trade is harmful; it implies that the growth payoff depends on the economic environment into which a country is opening.</w:t>
      </w:r>
    </w:p>
    <w:p>
      <w:pPr>
        <w:spacing w:before="0" w:after="0" w:line="480" w:lineRule="auto"/>
        <w:ind w:firstLine="720"/>
        <w:jc w:val="both"/>
      </w:pPr>
      <w:r>
        <w:rPr>
          <w:rFonts w:ascii="Times New Roman" w:hAnsi="Times New Roman" w:eastAsia="Times New Roman"/>
          <w:b w:val="0"/>
          <w:i w:val="0"/>
          <w:color w:val="000000"/>
          <w:sz w:val="24"/>
        </w:rPr>
        <w:t>A second policy implication concerns measurement. If policymakers target the trade-to-GDP ratio as an indicator of success, they may inadvertently reward re-exports, commodity booms, and exchange-rate movements rather than genuine integration into productive global value chains. A more useful monitoring framework would combine trade outcomes with measures of export diversification, import content of exports, and domestic value added in foreign demand. Without such granularity, the headline openness number can mislead as much as it informs.</w:t>
      </w:r>
    </w:p>
    <w:p>
      <w:pPr>
        <w:spacing w:before="0" w:after="0" w:line="480" w:lineRule="auto"/>
        <w:ind w:firstLine="720"/>
        <w:jc w:val="both"/>
      </w:pPr>
      <w:r>
        <w:rPr>
          <w:rFonts w:ascii="Times New Roman" w:hAnsi="Times New Roman" w:eastAsia="Times New Roman"/>
          <w:b w:val="0"/>
          <w:i w:val="0"/>
          <w:color w:val="000000"/>
          <w:sz w:val="24"/>
        </w:rPr>
        <w:t>This study also illustrates the value of reproducibility in development research. By downloading the data directly from the World Bank API, documenting every cleaning decision, and providing the analysis code in a public repository, we make it possible for other researchers to replicate the tables, test alternative specifications, and update the estimates as new data become available. Reproducibility does not guarantee correctness, but it makes errors easier to detect and debates easier to settle.</w:t>
      </w:r>
    </w:p>
    <w:p>
      <w:pPr>
        <w:pStyle w:val="Heading1"/>
        <w:spacing w:before="360" w:after="120" w:line="480" w:lineRule="auto"/>
        <w:ind w:firstLine="0"/>
        <w:jc w:val="left"/>
      </w:pPr>
      <w:r>
        <w:rPr>
          <w:rFonts w:ascii="Times New Roman" w:hAnsi="Times New Roman" w:eastAsia="Times New Roman"/>
          <w:b/>
          <w:i w:val="0"/>
          <w:color w:val="000000"/>
          <w:sz w:val="28"/>
        </w:rPr>
        <w:t>5. Conclusions</w:t>
      </w:r>
    </w:p>
    <w:p>
      <w:pPr>
        <w:spacing w:before="0" w:after="0" w:line="480" w:lineRule="auto"/>
        <w:ind w:firstLine="720"/>
        <w:jc w:val="both"/>
      </w:pPr>
      <w:r>
        <w:rPr>
          <w:rFonts w:ascii="Times New Roman" w:hAnsi="Times New Roman" w:eastAsia="Times New Roman"/>
          <w:b w:val="0"/>
          <w:i w:val="0"/>
          <w:color w:val="000000"/>
          <w:sz w:val="24"/>
        </w:rPr>
        <w:t>Our results suggest a simple diagnostic: if you want a positive trade-growth coefficient, run a pooled OLS or fixed-effects model; if you want a negative one, add year fixed effects. The TWFE estimate turns negative because the global upward trend in both trade and income during 2000-2022 is removed, leaving a within-year, within-country residual in which faster trade growth is not associated with faster income growth. This sensitivity implies that the aggregate trade-to-GDP ratio is picking up global cycles and country-size effects, not a structural policy parameter.</w:t>
      </w:r>
    </w:p>
    <w:p>
      <w:pPr>
        <w:spacing w:before="0" w:after="0" w:line="480" w:lineRule="auto"/>
        <w:ind w:firstLine="720"/>
        <w:jc w:val="both"/>
      </w:pPr>
      <w:r>
        <w:rPr>
          <w:rFonts w:ascii="Times New Roman" w:hAnsi="Times New Roman" w:eastAsia="Times New Roman"/>
          <w:b w:val="0"/>
          <w:i w:val="0"/>
          <w:color w:val="000000"/>
          <w:sz w:val="24"/>
        </w:rPr>
        <w:t>For policymakers, the results suggest that broad trade liberalization should not be treated as an automatic engine of growth. The developed-country subsample shows a positive association, while the developing-country subsample does not; the pre-2008 period also looks different from the post-2008 period. This heterogeneity is consistent with the idea that the growth payoff from trade depends on what a country exports, how well its institutions manage external competition, and whether domestic firms can absorb foreign technology and inputs.</w:t>
      </w:r>
    </w:p>
    <w:p>
      <w:pPr>
        <w:spacing w:before="0" w:after="0" w:line="480" w:lineRule="auto"/>
        <w:ind w:firstLine="720"/>
        <w:jc w:val="both"/>
      </w:pPr>
      <w:r>
        <w:rPr>
          <w:rFonts w:ascii="Times New Roman" w:hAnsi="Times New Roman" w:eastAsia="Times New Roman"/>
          <w:b w:val="0"/>
          <w:i w:val="0"/>
          <w:color w:val="000000"/>
          <w:sz w:val="24"/>
        </w:rPr>
        <w:t>For researchers, the priority should be to move beyond aggregate openness and identify the specific margins through which trade affects income: tariff reductions in particular sectors, access to imported intermediates, export-market entry, and the rules that govern foreign investment. The present paper provides a reproducible benchmark and a reminder that, in this literature, the estimated sign of the openness coefficient is often more informative about the choice of estimator than about the underlying economic relationship.</w:t>
      </w:r>
    </w:p>
    <w:p>
      <w:pPr>
        <w:spacing w:before="0" w:after="0" w:line="480" w:lineRule="auto"/>
        <w:ind w:firstLine="720"/>
        <w:jc w:val="both"/>
      </w:pPr>
      <w:r>
        <w:rPr>
          <w:rFonts w:ascii="Times New Roman" w:hAnsi="Times New Roman" w:eastAsia="Times New Roman"/>
          <w:b w:val="0"/>
          <w:i w:val="0"/>
          <w:color w:val="000000"/>
          <w:sz w:val="24"/>
        </w:rPr>
        <w:t>Looking forward, the research agenda is clear. Future work should exploit plausibly exogenous variation in trade policy, use sectoral and firm-level data to trace mechanisms, and test for heterogeneity by product complexity and institutional quality. The present paper provides a reproducible baseline and a cautionary message: in the cross-country trade-and-growth literature, the estimated coefficient on openness is often more a reflection of the estimator than of a deep structural parameter.</w:t>
      </w:r>
    </w:p>
    <w:p>
      <w:pPr>
        <w:spacing w:before="0" w:after="0" w:line="480" w:lineRule="auto"/>
        <w:ind w:firstLine="720"/>
        <w:jc w:val="both"/>
      </w:pPr>
      <w:r>
        <w:rPr>
          <w:rFonts w:ascii="Times New Roman" w:hAnsi="Times New Roman" w:eastAsia="Times New Roman"/>
          <w:b w:val="0"/>
          <w:i w:val="0"/>
          <w:color w:val="000000"/>
          <w:sz w:val="24"/>
        </w:rPr>
        <w:t>World Development's readership spans economists, political scientists, and development practitioners. For this audience, the key takeaway is not whether trade is good or bad in the abstract, but under what conditions openness translates into broad-based growth. Our evidence suggests that those conditions are neither universal nor automatic.</w:t>
      </w:r>
    </w:p>
    <w:p>
      <w:pPr>
        <w:pStyle w:val="Heading1"/>
        <w:spacing w:before="360" w:after="120" w:line="480" w:lineRule="auto"/>
        <w:ind w:firstLine="0"/>
        <w:jc w:val="left"/>
      </w:pPr>
      <w:r>
        <w:rPr>
          <w:rFonts w:ascii="Times New Roman" w:hAnsi="Times New Roman" w:eastAsia="Times New Roman"/>
          <w:b/>
          <w:i w:val="0"/>
          <w:color w:val="000000"/>
          <w:sz w:val="28"/>
        </w:rPr>
        <w:t>Declaration of competing interest</w:t>
      </w:r>
    </w:p>
    <w:p>
      <w:pPr>
        <w:spacing w:before="0" w:after="0" w:line="480" w:lineRule="auto"/>
        <w:ind w:firstLine="0"/>
        <w:jc w:val="both"/>
      </w:pPr>
      <w:r>
        <w:rPr>
          <w:rFonts w:ascii="Times New Roman" w:hAnsi="Times New Roman" w:eastAsia="Times New Roman"/>
          <w:b w:val="0"/>
          <w:i w:val="0"/>
          <w:color w:val="000000"/>
          <w:sz w:val="24"/>
        </w:rPr>
        <w:t>Declarations of interest: none</w:t>
      </w:r>
    </w:p>
    <w:p>
      <w:pPr>
        <w:pStyle w:val="Heading1"/>
        <w:spacing w:before="360" w:after="120" w:line="480" w:lineRule="auto"/>
        <w:ind w:firstLine="0"/>
        <w:jc w:val="left"/>
      </w:pPr>
      <w:r>
        <w:rPr>
          <w:rFonts w:ascii="Times New Roman" w:hAnsi="Times New Roman" w:eastAsia="Times New Roman"/>
          <w:b/>
          <w:i w:val="0"/>
          <w:color w:val="000000"/>
          <w:sz w:val="28"/>
        </w:rPr>
        <w:t>Declaration of generative AI and AI-assisted technologies in the manuscript preparation process</w:t>
      </w:r>
    </w:p>
    <w:p>
      <w:pPr>
        <w:spacing w:before="0" w:after="0" w:line="480" w:lineRule="auto"/>
        <w:ind w:firstLine="0"/>
        <w:jc w:val="both"/>
      </w:pPr>
      <w:r>
        <w:rPr>
          <w:rFonts w:ascii="Times New Roman" w:hAnsi="Times New Roman" w:eastAsia="Times New Roman"/>
          <w:b w:val="0"/>
          <w:i w:val="0"/>
          <w:color w:val="000000"/>
          <w:sz w:val="24"/>
        </w:rPr>
        <w:t>During the preparation of this work the author(s) used GLM-5.2 for grammatical correction and linguistic refinement. After using this tool/service, the author(s) reviewed and edited the content as needed and take(s) full responsibility for the publication's content.</w:t>
      </w:r>
    </w:p>
    <w:p>
      <w:pPr>
        <w:pStyle w:val="Heading1"/>
        <w:spacing w:before="360" w:after="120" w:line="480" w:lineRule="auto"/>
        <w:ind w:firstLine="0"/>
        <w:jc w:val="left"/>
      </w:pPr>
      <w:r>
        <w:rPr>
          <w:rFonts w:ascii="Times New Roman" w:hAnsi="Times New Roman" w:eastAsia="Times New Roman"/>
          <w:b/>
          <w:i w:val="0"/>
          <w:color w:val="000000"/>
          <w:sz w:val="28"/>
        </w:rPr>
        <w:t>Data availability</w:t>
      </w:r>
    </w:p>
    <w:p>
      <w:pPr>
        <w:spacing w:before="0" w:after="0" w:line="480" w:lineRule="auto"/>
        <w:ind w:firstLine="0"/>
        <w:jc w:val="both"/>
      </w:pPr>
      <w:r>
        <w:rPr>
          <w:rFonts w:ascii="Times New Roman" w:hAnsi="Times New Roman" w:eastAsia="Times New Roman"/>
          <w:b w:val="0"/>
          <w:i w:val="0"/>
          <w:color w:val="000000"/>
          <w:sz w:val="24"/>
        </w:rPr>
        <w:t>All data were downloaded from the World Bank World Development Indicators API (https://data.worldbank.org/) on the date of analysis. The Python scripts used to download, clean, analyze, and compile the manuscript are available at https://github.com/AcerisSolaIAS/trade-openness-growth-replication.</w:t>
      </w:r>
    </w:p>
    <w:p>
      <w:pPr>
        <w:pStyle w:val="Heading1"/>
        <w:spacing w:before="360" w:after="120" w:line="480" w:lineRule="auto"/>
        <w:ind w:firstLine="0"/>
        <w:jc w:val="left"/>
      </w:pPr>
      <w:r>
        <w:rPr>
          <w:rFonts w:ascii="Times New Roman" w:hAnsi="Times New Roman" w:eastAsia="Times New Roman"/>
          <w:b/>
          <w:i w:val="0"/>
          <w:color w:val="000000"/>
          <w:sz w:val="28"/>
        </w:rPr>
        <w:t>References</w:t>
      </w:r>
    </w:p>
    <w:p>
      <w:pPr>
        <w:spacing w:line="480" w:lineRule="auto" w:after="0"/>
        <w:ind w:left="720" w:hanging="720"/>
        <w:jc w:val="left"/>
      </w:pPr>
      <w:r>
        <w:rPr>
          <w:rFonts w:ascii="Times New Roman" w:hAnsi="Times New Roman" w:eastAsia="Times New Roman"/>
          <w:b w:val="0"/>
          <w:i w:val="0"/>
          <w:color w:val="000000"/>
          <w:sz w:val="24"/>
        </w:rPr>
        <w:t>Autor, D. H., Dorn, D., &amp; Hanson, G. H. (2013). The China syndrome: Local labor market effects of import competition in the United States. American Economic Review, 103(6), 2121–2168. https://doi.org/10.1257/aer.103.6.2121</w:t>
      </w:r>
    </w:p>
    <w:p>
      <w:pPr>
        <w:spacing w:line="480" w:lineRule="auto" w:after="0"/>
        <w:ind w:left="720" w:hanging="720"/>
        <w:jc w:val="left"/>
      </w:pPr>
      <w:r>
        <w:rPr>
          <w:rFonts w:ascii="Times New Roman" w:hAnsi="Times New Roman" w:eastAsia="Times New Roman"/>
          <w:b w:val="0"/>
          <w:i w:val="0"/>
          <w:color w:val="000000"/>
          <w:sz w:val="24"/>
        </w:rPr>
        <w:t>Billmeier, A., &amp; Nannicini, T. (2013). Assessing economic liberalization episodes: A synthetic control approach. Review of Economics and Statistics, 95(3), 983–1001. https://doi.org/10.1162/REST_a_00300</w:t>
      </w:r>
    </w:p>
    <w:p>
      <w:pPr>
        <w:spacing w:line="480" w:lineRule="auto" w:after="0"/>
        <w:ind w:left="720" w:hanging="720"/>
        <w:jc w:val="left"/>
      </w:pPr>
      <w:r>
        <w:rPr>
          <w:rFonts w:ascii="Times New Roman" w:hAnsi="Times New Roman" w:eastAsia="Times New Roman"/>
          <w:b w:val="0"/>
          <w:i w:val="0"/>
          <w:color w:val="000000"/>
          <w:sz w:val="24"/>
        </w:rPr>
        <w:t>Chang, R., Kaltani, L., &amp; Loayza, N. V. (2009). Openness can be good for growth: The role of policy complementarities. Journal of Development Economics, 90(1), 33–49. https://doi.org/10.1016/j.jdeveco.2008.11.002</w:t>
      </w:r>
    </w:p>
    <w:p>
      <w:pPr>
        <w:spacing w:line="480" w:lineRule="auto" w:after="0"/>
        <w:ind w:left="720" w:hanging="720"/>
        <w:jc w:val="left"/>
      </w:pPr>
      <w:r>
        <w:rPr>
          <w:rFonts w:ascii="Times New Roman" w:hAnsi="Times New Roman" w:eastAsia="Times New Roman"/>
          <w:b w:val="0"/>
          <w:i w:val="0"/>
          <w:color w:val="000000"/>
          <w:sz w:val="24"/>
        </w:rPr>
        <w:t>Edwards, S. (1998). Openness, productivity and growth: What do we really know? Economic Journal, 108(447), 383–398. https://doi.org/10.1111/1468-0297.00293</w:t>
      </w:r>
    </w:p>
    <w:p>
      <w:pPr>
        <w:spacing w:line="480" w:lineRule="auto" w:after="0"/>
        <w:ind w:left="720" w:hanging="720"/>
        <w:jc w:val="left"/>
      </w:pPr>
      <w:r>
        <w:rPr>
          <w:rFonts w:ascii="Times New Roman" w:hAnsi="Times New Roman" w:eastAsia="Times New Roman"/>
          <w:b w:val="0"/>
          <w:i w:val="0"/>
          <w:color w:val="000000"/>
          <w:sz w:val="24"/>
        </w:rPr>
        <w:t>Estevadeordal, A., &amp; Taylor, A. M. (2013). Is the Washington Consensus dead? Growth, openness, and the Great Liberalization, 1980s–2000s. Review of Economics and Statistics, 95(5), 1669-1690. https://doi.org/10.1162/REST_a_00324</w:t>
      </w:r>
    </w:p>
    <w:p>
      <w:pPr>
        <w:spacing w:line="480" w:lineRule="auto" w:after="0"/>
        <w:ind w:left="720" w:hanging="720"/>
        <w:jc w:val="left"/>
      </w:pPr>
      <w:r>
        <w:rPr>
          <w:rFonts w:ascii="Times New Roman" w:hAnsi="Times New Roman" w:eastAsia="Times New Roman"/>
          <w:b w:val="0"/>
          <w:i w:val="0"/>
          <w:color w:val="000000"/>
          <w:sz w:val="24"/>
        </w:rPr>
        <w:t>Fajgelbaum, P. D., &amp; Khandelwal, A. K. (2016). Measuring the unequal gains from trade. Quarterly Journal of Economics, 131(3), 1113–1180. https://doi.org/10.1093/qje/qjw013</w:t>
      </w:r>
    </w:p>
    <w:p>
      <w:pPr>
        <w:spacing w:line="480" w:lineRule="auto" w:after="0"/>
        <w:ind w:left="720" w:hanging="720"/>
        <w:jc w:val="left"/>
      </w:pPr>
      <w:r>
        <w:rPr>
          <w:rFonts w:ascii="Times New Roman" w:hAnsi="Times New Roman" w:eastAsia="Times New Roman"/>
          <w:b w:val="0"/>
          <w:i w:val="0"/>
          <w:color w:val="000000"/>
          <w:sz w:val="24"/>
        </w:rPr>
        <w:t>Feyrer, J. (2019). Trade and income–Exploiting time series in geography. American Economic Journal: Applied Economics, 11(4), 1-35. https://doi.org/10.1257/app.20170608</w:t>
      </w:r>
    </w:p>
    <w:p>
      <w:pPr>
        <w:spacing w:line="480" w:lineRule="auto" w:after="0"/>
        <w:ind w:left="720" w:hanging="720"/>
        <w:jc w:val="left"/>
      </w:pPr>
      <w:r>
        <w:rPr>
          <w:rFonts w:ascii="Times New Roman" w:hAnsi="Times New Roman" w:eastAsia="Times New Roman"/>
          <w:b w:val="0"/>
          <w:i w:val="0"/>
          <w:color w:val="000000"/>
          <w:sz w:val="24"/>
        </w:rPr>
        <w:t>Frankel, J. A., &amp; Romer, D. H. (1999). Does trade cause growth? American Economic Review, 89(3), 379–399. https://doi.org/10.1257/aer.89.3.379</w:t>
      </w:r>
    </w:p>
    <w:p>
      <w:pPr>
        <w:spacing w:line="480" w:lineRule="auto" w:after="0"/>
        <w:ind w:left="720" w:hanging="720"/>
        <w:jc w:val="left"/>
      </w:pPr>
      <w:r>
        <w:rPr>
          <w:rFonts w:ascii="Times New Roman" w:hAnsi="Times New Roman" w:eastAsia="Times New Roman"/>
          <w:b w:val="0"/>
          <w:i w:val="0"/>
          <w:color w:val="000000"/>
          <w:sz w:val="24"/>
        </w:rPr>
        <w:t>World Bank. (2024). World Development Indicators. World Bank. https://data.worldbank.org/</w:t>
      </w:r>
    </w:p>
    <w:p>
      <w:pPr>
        <w:spacing w:line="480" w:lineRule="auto" w:after="0"/>
        <w:ind w:left="720" w:hanging="720"/>
        <w:jc w:val="left"/>
      </w:pPr>
      <w:r>
        <w:rPr>
          <w:rFonts w:ascii="Times New Roman" w:hAnsi="Times New Roman" w:eastAsia="Times New Roman"/>
          <w:b w:val="0"/>
          <w:i w:val="0"/>
          <w:color w:val="000000"/>
          <w:sz w:val="24"/>
        </w:rPr>
        <w:t>Irwin, D. A., &amp; Tervio, M. (2002). Does trade raise income? Evidence from the twentieth century. Journal of International Economics, 58(1), 1–18. https://doi.org/10.1016/S0022-1996(01)00164-7</w:t>
      </w:r>
    </w:p>
    <w:p>
      <w:pPr>
        <w:spacing w:line="480" w:lineRule="auto" w:after="0"/>
        <w:ind w:left="720" w:hanging="720"/>
        <w:jc w:val="left"/>
      </w:pPr>
      <w:r>
        <w:rPr>
          <w:rFonts w:ascii="Times New Roman" w:hAnsi="Times New Roman" w:eastAsia="Times New Roman"/>
          <w:b w:val="0"/>
          <w:i w:val="0"/>
          <w:color w:val="000000"/>
          <w:sz w:val="24"/>
        </w:rPr>
        <w:t>Maddala, G. S., &amp; Wu, S. (1999). A comparative study of unit root tests with panel data and a new simple test. Oxford Bulletin of Economics and Statistics, 61(S1), 631–652. https://doi.org/10.1111/1468-0084.0610s1657</w:t>
      </w:r>
    </w:p>
    <w:p>
      <w:pPr>
        <w:spacing w:line="480" w:lineRule="auto" w:after="0"/>
        <w:ind w:left="720" w:hanging="720"/>
        <w:jc w:val="left"/>
      </w:pPr>
      <w:r>
        <w:rPr>
          <w:rFonts w:ascii="Times New Roman" w:hAnsi="Times New Roman" w:eastAsia="Times New Roman"/>
          <w:b w:val="0"/>
          <w:i w:val="0"/>
          <w:color w:val="000000"/>
          <w:sz w:val="24"/>
        </w:rPr>
        <w:t>Nickell, S. (1981). Biases in dynamic models with fixed effects. Econometrica, 49(6), 1417–1426. https://doi.org/10.2307/1911408</w:t>
      </w:r>
    </w:p>
    <w:p>
      <w:pPr>
        <w:spacing w:line="480" w:lineRule="auto" w:after="0"/>
        <w:ind w:left="720" w:hanging="720"/>
        <w:jc w:val="left"/>
      </w:pPr>
      <w:r>
        <w:rPr>
          <w:rFonts w:ascii="Times New Roman" w:hAnsi="Times New Roman" w:eastAsia="Times New Roman"/>
          <w:b w:val="0"/>
          <w:i w:val="0"/>
          <w:color w:val="000000"/>
          <w:sz w:val="24"/>
        </w:rPr>
        <w:t>Pierce, J. R., &amp; Schott, P. K. (2016). The surprisingly swift decline of US manufacturing employment. American Economic Review, 106(7), 1632–1662. https://doi.org/10.1257/aer.20131578</w:t>
      </w:r>
    </w:p>
    <w:p>
      <w:pPr>
        <w:spacing w:line="480" w:lineRule="auto" w:after="0"/>
        <w:ind w:left="720" w:hanging="720"/>
        <w:jc w:val="left"/>
      </w:pPr>
      <w:r>
        <w:rPr>
          <w:rFonts w:ascii="Times New Roman" w:hAnsi="Times New Roman" w:eastAsia="Times New Roman"/>
          <w:b w:val="0"/>
          <w:i w:val="0"/>
          <w:color w:val="000000"/>
          <w:sz w:val="24"/>
        </w:rPr>
        <w:t>Rodriguez, F., &amp; Rodrik, D. (2000). Trade policy and economic growth: A skeptic's guide to the cross–national evidence. NBER Macroeconomics Annual, 15, 261-325. https://doi.org/10.1086/654419</w:t>
      </w:r>
    </w:p>
    <w:p>
      <w:pPr>
        <w:spacing w:line="480" w:lineRule="auto" w:after="0"/>
        <w:ind w:left="720" w:hanging="720"/>
        <w:jc w:val="left"/>
      </w:pPr>
      <w:r>
        <w:rPr>
          <w:rFonts w:ascii="Times New Roman" w:hAnsi="Times New Roman" w:eastAsia="Times New Roman"/>
          <w:b w:val="0"/>
          <w:i w:val="0"/>
          <w:color w:val="000000"/>
          <w:sz w:val="24"/>
        </w:rPr>
        <w:t>Sachs, J. D., &amp; Warner, A. M. (1995). Economic reform and the process of global integration. Brookings Papers on Economic Activity, 1995(1), 1–118.</w:t>
      </w:r>
    </w:p>
    <w:p>
      <w:pPr>
        <w:spacing w:line="480" w:lineRule="auto" w:after="0"/>
        <w:ind w:left="720" w:hanging="720"/>
        <w:jc w:val="left"/>
      </w:pPr>
      <w:r>
        <w:rPr>
          <w:rFonts w:ascii="Times New Roman" w:hAnsi="Times New Roman" w:eastAsia="Times New Roman"/>
          <w:b w:val="0"/>
          <w:i w:val="0"/>
          <w:color w:val="000000"/>
          <w:sz w:val="24"/>
        </w:rPr>
        <w:t>Wacziarg, R., &amp; Welch, K. H. (2008). Trade liberalization and growth: New evidence. World Bank Economic Review, 22(2), 187–231. https://doi.org/10.1093/wber/lhn007</w:t>
      </w:r>
    </w:p>
    <w:p>
      <w:r>
        <w:br w:type="page"/>
      </w:r>
    </w:p>
    <w:p>
      <w:pPr>
        <w:pStyle w:val="Heading1"/>
        <w:spacing w:before="360" w:after="120" w:line="480" w:lineRule="auto"/>
        <w:ind w:firstLine="0"/>
        <w:jc w:val="left"/>
      </w:pPr>
      <w:r>
        <w:rPr>
          <w:rFonts w:ascii="Times New Roman" w:hAnsi="Times New Roman" w:eastAsia="Times New Roman"/>
          <w:b/>
          <w:i w:val="0"/>
          <w:color w:val="000000"/>
          <w:sz w:val="28"/>
        </w:rPr>
        <w:t>Tables</w:t>
      </w:r>
    </w:p>
    <w:p>
      <w:pPr>
        <w:spacing w:before="240" w:after="120" w:line="480" w:lineRule="auto"/>
        <w:ind w:firstLine="0"/>
        <w:jc w:val="left"/>
      </w:pPr>
      <w:r>
        <w:rPr>
          <w:rFonts w:ascii="Times New Roman" w:hAnsi="Times New Roman" w:eastAsia="Times New Roman"/>
          <w:b/>
          <w:i w:val="0"/>
          <w:color w:val="000000"/>
          <w:sz w:val="24"/>
        </w:rPr>
        <w:t>Table 1. Descriptive statistics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Variable</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Mean</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Std. Dev.</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Min</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Max</w:t>
            </w:r>
          </w:p>
        </w:tc>
      </w:tr>
      <w:tr>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GDP per capita (USD)</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14195.8</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19594.6</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287.4</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118382.9</w:t>
            </w:r>
          </w:p>
        </w:tc>
      </w:tr>
      <w:tr>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Trade/GDP (%)</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89.7</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53.9</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2.7</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442.6</w:t>
            </w:r>
          </w:p>
        </w:tc>
      </w:tr>
      <w:tr>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Investment/GDP (%)</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24.3</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6.6</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1.1</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76.8</w:t>
            </w:r>
          </w:p>
        </w:tc>
      </w:tr>
      <w:tr>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Primary enrollment (%)</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102.4</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14.8</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32.1</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184.0</w:t>
            </w:r>
          </w:p>
        </w:tc>
      </w:tr>
      <w:tr>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Population growth (%)</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1.36</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1.28</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-11.36</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21.70</w:t>
            </w:r>
          </w:p>
        </w:tc>
      </w:tr>
    </w:tbl>
    <w:p>
      <w:pPr>
        <w:spacing w:before="60" w:after="240" w:line="480" w:lineRule="auto"/>
        <w:ind w:firstLine="0"/>
        <w:jc w:val="both"/>
      </w:pPr>
      <w:r>
        <w:rPr>
          <w:rFonts w:ascii="Times New Roman" w:hAnsi="Times New Roman" w:eastAsia="Times New Roman"/>
          <w:b w:val="0"/>
          <w:i/>
          <w:color w:val="000000"/>
          <w:sz w:val="22"/>
        </w:rPr>
        <w:t>Note: Mean values by variable across countries.</w:t>
      </w:r>
    </w:p>
    <w:p>
      <w:pPr>
        <w:spacing w:before="240" w:after="120" w:line="480" w:lineRule="auto"/>
        <w:ind w:firstLine="0"/>
        <w:jc w:val="left"/>
      </w:pPr>
      <w:r>
        <w:rPr>
          <w:rFonts w:ascii="Times New Roman" w:hAnsi="Times New Roman" w:eastAsia="Times New Roman"/>
          <w:b/>
          <w:i w:val="0"/>
          <w:color w:val="000000"/>
          <w:sz w:val="24"/>
        </w:rPr>
        <w:t>Table 2. Correlation matrix</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ln GDP</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ln Trade</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ln Inv</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School</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Pop. gr.</w:t>
            </w:r>
          </w:p>
        </w:tc>
      </w:tr>
      <w:tr>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ln GDP</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1.000</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0.374</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0.074</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0.080</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-0.260</w:t>
            </w:r>
          </w:p>
        </w:tc>
      </w:tr>
      <w:tr>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ln Trade</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0.374</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1.000</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0.204</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0.103</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-0.119</w:t>
            </w:r>
          </w:p>
        </w:tc>
      </w:tr>
      <w:tr>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ln Inv</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0.074</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0.204</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1.000</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0.163</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0.003</w:t>
            </w:r>
          </w:p>
        </w:tc>
      </w:tr>
      <w:tr>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School</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0.080</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0.103</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0.163</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1.000</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-0.102</w:t>
            </w:r>
          </w:p>
        </w:tc>
      </w:tr>
      <w:tr>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Pop. gr.</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-0.260</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-0.119</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0.003</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-0.102</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1.000</w:t>
            </w:r>
          </w:p>
        </w:tc>
      </w:tr>
    </w:tbl>
    <w:p>
      <w:pPr>
        <w:spacing w:before="240" w:after="120" w:line="480" w:lineRule="auto"/>
        <w:ind w:firstLine="0"/>
        <w:jc w:val="left"/>
      </w:pPr>
      <w:r>
        <w:rPr>
          <w:rFonts w:ascii="Times New Roman" w:hAnsi="Times New Roman" w:eastAsia="Times New Roman"/>
          <w:b/>
          <w:i w:val="0"/>
          <w:color w:val="000000"/>
          <w:sz w:val="24"/>
        </w:rPr>
        <w:t>Table 3. Panel stationarity and cointegration pre-tests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Variable</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Countries</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Reject 5%</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Mean p</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Fisher chi2</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Fisher p</w:t>
            </w:r>
          </w:p>
        </w:tc>
      </w:tr>
      <w:tr>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lgdp</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183</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22</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0.530</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421.90</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0.019</w:t>
            </w:r>
          </w:p>
        </w:tc>
      </w:tr>
      <w:tr>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ltrade</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183</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17</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0.448</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530.00</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&lt;0.001</w:t>
            </w:r>
          </w:p>
        </w:tc>
      </w:tr>
      <w:tr>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linv</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183</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19</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0.378</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608.23</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&lt;0.001</w:t>
            </w:r>
          </w:p>
        </w:tc>
      </w:tr>
      <w:tr>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Cointegration</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154</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136</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0.028</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1943.71</w:t>
            </w:r>
          </w:p>
        </w:tc>
        <w:tc>
          <w:tcPr>
            <w:tcW w:type="dxa" w:w="156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&lt;0.001</w:t>
            </w:r>
          </w:p>
        </w:tc>
      </w:tr>
    </w:tbl>
    <w:p>
      <w:pPr>
        <w:spacing w:before="60" w:after="240" w:line="480" w:lineRule="auto"/>
        <w:ind w:firstLine="0"/>
        <w:jc w:val="both"/>
      </w:pPr>
      <w:r>
        <w:rPr>
          <w:rFonts w:ascii="Times New Roman" w:hAnsi="Times New Roman" w:eastAsia="Times New Roman"/>
          <w:b w:val="0"/>
          <w:i/>
          <w:color w:val="000000"/>
          <w:sz w:val="22"/>
        </w:rPr>
        <w:t>Note: Reject 5% counts how many country-specific ADF tests reject the unit-root null at the 5% level. The Fisher chi2 statistic combines individual p-values across countries; a low p-value indicates that the series is persistent in most countries. Cointegration tests are Engle-Granger residual ADF tests from a regression of log GDP per capita on log trade, log investment, schooling, and population growth.</w:t>
      </w:r>
    </w:p>
    <w:p>
      <w:pPr>
        <w:spacing w:before="240" w:after="120" w:line="480" w:lineRule="auto"/>
        <w:ind w:firstLine="0"/>
        <w:jc w:val="left"/>
      </w:pPr>
      <w:r>
        <w:rPr>
          <w:rFonts w:ascii="Times New Roman" w:hAnsi="Times New Roman" w:eastAsia="Times New Roman"/>
          <w:b/>
          <w:i w:val="0"/>
          <w:color w:val="000000"/>
          <w:sz w:val="24"/>
        </w:rPr>
        <w:t>Table 4. Panel regression results (dependent variable: ln GDP per capita)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Variable</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Pooled OLS</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FE</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Time FE</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Two-way FE</w:t>
            </w:r>
          </w:p>
        </w:tc>
      </w:tr>
      <w:tr>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ln Trade</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0.9984***</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0.0766***</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0.9943***</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-0.0456***</w:t>
            </w:r>
          </w:p>
        </w:tc>
      </w:tr>
      <w:tr>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ln Investment</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-0.1354**</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0.1601***</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-0.1727**</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0.0897***</w:t>
            </w:r>
          </w:p>
        </w:tc>
      </w:tr>
      <w:tr>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Primary enroll.</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0.0030*</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-0.0015***</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0.0028</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-0.0008**</w:t>
            </w:r>
          </w:p>
        </w:tc>
      </w:tr>
      <w:tr>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Population growth</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-0.1941***</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-0.0010</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-0.1829***</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0.0178***</w:t>
            </w:r>
          </w:p>
        </w:tc>
      </w:tr>
      <w:tr>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R-squared</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0.1891</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0.0439</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0.1825</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0.0419</w:t>
            </w:r>
          </w:p>
        </w:tc>
      </w:tr>
      <w:tr>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Observations</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3255</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3255</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3255</w:t>
            </w:r>
          </w:p>
        </w:tc>
        <w:tc>
          <w:tcPr>
            <w:tcW w:type="dxa" w:w="1872"/>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3255</w:t>
            </w:r>
          </w:p>
        </w:tc>
      </w:tr>
    </w:tbl>
    <w:p>
      <w:pPr>
        <w:spacing w:before="60" w:after="240" w:line="480" w:lineRule="auto"/>
        <w:ind w:firstLine="0"/>
        <w:jc w:val="both"/>
      </w:pPr>
      <w:r>
        <w:rPr>
          <w:rFonts w:ascii="Times New Roman" w:hAnsi="Times New Roman" w:eastAsia="Times New Roman"/>
          <w:b w:val="0"/>
          <w:i/>
          <w:color w:val="000000"/>
          <w:sz w:val="22"/>
        </w:rPr>
        <w:t>Note: *** p&lt;0.01, ** p&lt;0.05, * p&lt;0.1. Standard errors are panel-robust. FE = country fixed effects; TWFE = country and year fixed effects. TWFE absorbs country-specific and year-specific averages; the negative coefficient is a within-year, within-country deviation and does not measure the long-run effect of lowering tariffs. We also attempted a random-effects specification, but it returned a numerical singularity and was dropped; fixed-effects estimates are reported throughout.</w:t>
      </w:r>
    </w:p>
    <w:p>
      <w:pPr>
        <w:spacing w:before="240" w:after="120" w:line="480" w:lineRule="auto"/>
        <w:ind w:firstLine="0"/>
        <w:jc w:val="left"/>
      </w:pPr>
      <w:r>
        <w:rPr>
          <w:rFonts w:ascii="Times New Roman" w:hAnsi="Times New Roman" w:eastAsia="Times New Roman"/>
          <w:b/>
          <w:i w:val="0"/>
          <w:color w:val="000000"/>
          <w:sz w:val="24"/>
        </w:rPr>
        <w:t>Table 5. Heterogeneity analysis (two-way fixed effects, dependent variable: ln GDP per capita)</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Sample</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ln Trade</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ln Investment</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Observations</w:t>
            </w:r>
          </w:p>
        </w:tc>
      </w:tr>
      <w:tr>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Developed</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0.1720***</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0.2014***</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768</w:t>
            </w:r>
          </w:p>
        </w:tc>
      </w:tr>
      <w:tr>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Developing</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-0.0265</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0.0645***</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2487</w:t>
            </w:r>
          </w:p>
        </w:tc>
      </w:tr>
      <w:tr>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Pre 2008</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0.0308</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0.0598***</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1228</w:t>
            </w:r>
          </w:p>
        </w:tc>
      </w:tr>
      <w:tr>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Post 2008</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0.0168</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0.0939***</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2027</w:t>
            </w:r>
          </w:p>
        </w:tc>
      </w:tr>
      <w:tr>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High Trade</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-0.0868***</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0.0215</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1620</w:t>
            </w:r>
          </w:p>
        </w:tc>
      </w:tr>
      <w:tr>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Low Trade</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-0.0068</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0.1514***</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1635</w:t>
            </w:r>
          </w:p>
        </w:tc>
      </w:tr>
    </w:tbl>
    <w:p>
      <w:pPr>
        <w:spacing w:before="60" w:after="240" w:line="480" w:lineRule="auto"/>
        <w:ind w:firstLine="0"/>
        <w:jc w:val="both"/>
      </w:pPr>
      <w:r>
        <w:rPr>
          <w:rFonts w:ascii="Times New Roman" w:hAnsi="Times New Roman" w:eastAsia="Times New Roman"/>
          <w:b w:val="0"/>
          <w:i/>
          <w:color w:val="000000"/>
          <w:sz w:val="22"/>
        </w:rPr>
        <w:t>Note: *** p&lt;0.01, ** p&lt;0.05, * p&lt;0.1. High/low trade intensity is split by the median trade-to-GDP ratio across country-year observations. Developed/developing split uses OECD membership; the pre/post-2008 split follows the global financial crisis.</w:t>
      </w:r>
    </w:p>
    <w:p>
      <w:pPr>
        <w:spacing w:before="240" w:after="120" w:line="480" w:lineRule="auto"/>
        <w:ind w:firstLine="0"/>
        <w:jc w:val="left"/>
      </w:pPr>
      <w:r>
        <w:rPr>
          <w:rFonts w:ascii="Times New Roman" w:hAnsi="Times New Roman" w:eastAsia="Times New Roman"/>
          <w:b/>
          <w:i w:val="0"/>
          <w:color w:val="000000"/>
          <w:sz w:val="24"/>
        </w:rPr>
        <w:t>Table 6. Robustness checks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Variable</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Excl. high trade</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Lagged trade</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First differences</w:t>
            </w:r>
          </w:p>
        </w:tc>
      </w:tr>
      <w:tr>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ln Trade</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-0.0501***</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-0.0238*</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0.0833***</w:t>
            </w:r>
          </w:p>
        </w:tc>
      </w:tr>
      <w:tr>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ln Investment</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0.0902***</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0.0894***</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0.0366***</w:t>
            </w:r>
          </w:p>
        </w:tc>
      </w:tr>
      <w:tr>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Primary enroll.</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-0.0008**</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-0.0007*</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0.0008***</w:t>
            </w:r>
          </w:p>
        </w:tc>
      </w:tr>
      <w:tr>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Population growth</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0.0178***</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0.0178***</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-0.0015</w:t>
            </w:r>
          </w:p>
        </w:tc>
      </w:tr>
      <w:tr>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R-squared</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0.0419</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0.0421</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0.0661</w:t>
            </w:r>
          </w:p>
        </w:tc>
      </w:tr>
      <w:tr>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Observations</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3040</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3134</w:t>
            </w:r>
          </w:p>
        </w:tc>
        <w:tc>
          <w:tcPr>
            <w:tcW w:type="dxa" w:w="234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2952</w:t>
            </w:r>
          </w:p>
        </w:tc>
      </w:tr>
    </w:tbl>
    <w:p>
      <w:pPr>
        <w:spacing w:before="60" w:after="240" w:line="480" w:lineRule="auto"/>
        <w:ind w:firstLine="0"/>
        <w:jc w:val="both"/>
      </w:pPr>
      <w:r>
        <w:rPr>
          <w:rFonts w:ascii="Times New Roman" w:hAnsi="Times New Roman" w:eastAsia="Times New Roman"/>
          <w:b w:val="0"/>
          <w:i/>
          <w:color w:val="000000"/>
          <w:sz w:val="22"/>
        </w:rPr>
        <w:t>Note: *** p&lt;0.01, ** p&lt;0.05, * p&lt;0.1. Excl. high trade drops countries whose mean trade share exceeds 150% of GDP. Lagged trade uses one-year-lagged log trade openness. First differences uses annual changes in all variables and drops the time effects because they are differenced out.</w:t>
      </w:r>
    </w:p>
    <w:p>
      <w:pPr>
        <w:spacing w:before="240" w:after="120" w:line="480" w:lineRule="auto"/>
        <w:ind w:firstLine="0"/>
        <w:jc w:val="left"/>
      </w:pPr>
      <w:r>
        <w:rPr>
          <w:rFonts w:ascii="Times New Roman" w:hAnsi="Times New Roman" w:eastAsia="Times New Roman"/>
          <w:b/>
          <w:i w:val="0"/>
          <w:color w:val="000000"/>
          <w:sz w:val="24"/>
        </w:rPr>
        <w:t>Table 7. Dynamic panel (dependent variable: ln GDP per capita)</w:t>
      </w:r>
    </w:p>
    <w:tbl>
      <w:tblPr>
        <w:tblStyle w:val="TableGrid"/>
        <w:tblW w:type="auto" w:w="0"/>
        <w:tblLook w:firstColumn="1" w:firstRow="1" w:lastColumn="0" w:lastRow="0" w:noHBand="0" w:noVBand="1" w:val="04A0"/>
      </w:tblPr>
      <w:tblGrid>
        <w:gridCol w:w="4680"/>
        <w:gridCol w:w="4680"/>
      </w:tblGrid>
      <w:tr>
        <w:tc>
          <w:tcPr>
            <w:tcW w:type="dxa" w:w="468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Variable</w:t>
            </w:r>
          </w:p>
        </w:tc>
        <w:tc>
          <w:tcPr>
            <w:tcW w:type="dxa" w:w="468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i w:val="0"/>
                <w:color w:val="000000"/>
                <w:sz w:val="24"/>
              </w:rPr>
              <w:t>Coefficient</w:t>
            </w:r>
          </w:p>
        </w:tc>
      </w:tr>
      <w:tr>
        <w:tc>
          <w:tcPr>
            <w:tcW w:type="dxa" w:w="468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ln GDP(t-1)</w:t>
            </w:r>
          </w:p>
        </w:tc>
        <w:tc>
          <w:tcPr>
            <w:tcW w:type="dxa" w:w="468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0.9327***</w:t>
            </w:r>
          </w:p>
        </w:tc>
      </w:tr>
      <w:tr>
        <w:tc>
          <w:tcPr>
            <w:tcW w:type="dxa" w:w="468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ln Trade(t-1)</w:t>
            </w:r>
          </w:p>
        </w:tc>
        <w:tc>
          <w:tcPr>
            <w:tcW w:type="dxa" w:w="468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0.0207***</w:t>
            </w:r>
          </w:p>
        </w:tc>
      </w:tr>
      <w:tr>
        <w:tc>
          <w:tcPr>
            <w:tcW w:type="dxa" w:w="468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ln Investment</w:t>
            </w:r>
          </w:p>
        </w:tc>
        <w:tc>
          <w:tcPr>
            <w:tcW w:type="dxa" w:w="468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0.0385***</w:t>
            </w:r>
          </w:p>
        </w:tc>
      </w:tr>
      <w:tr>
        <w:tc>
          <w:tcPr>
            <w:tcW w:type="dxa" w:w="468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Primary enroll.</w:t>
            </w:r>
          </w:p>
        </w:tc>
        <w:tc>
          <w:tcPr>
            <w:tcW w:type="dxa" w:w="468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0.0002</w:t>
            </w:r>
          </w:p>
        </w:tc>
      </w:tr>
      <w:tr>
        <w:tc>
          <w:tcPr>
            <w:tcW w:type="dxa" w:w="468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Population growth</w:t>
            </w:r>
          </w:p>
        </w:tc>
        <w:tc>
          <w:tcPr>
            <w:tcW w:type="dxa" w:w="468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-0.0052***</w:t>
            </w:r>
          </w:p>
        </w:tc>
      </w:tr>
      <w:tr>
        <w:tc>
          <w:tcPr>
            <w:tcW w:type="dxa" w:w="468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R-squared</w:t>
            </w:r>
          </w:p>
        </w:tc>
        <w:tc>
          <w:tcPr>
            <w:tcW w:type="dxa" w:w="468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0.9018</w:t>
            </w:r>
          </w:p>
        </w:tc>
      </w:tr>
      <w:tr>
        <w:tc>
          <w:tcPr>
            <w:tcW w:type="dxa" w:w="468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Observations</w:t>
            </w:r>
          </w:p>
        </w:tc>
        <w:tc>
          <w:tcPr>
            <w:tcW w:type="dxa" w:w="4680"/>
            <w:shd w:fill="FFFFFF"/>
            <w:tcBorders>
              <w:top w:val="single" w:sz="4" w:space="0" w:color="000000"/>
              <w:bottom w:val="single" w:sz="4" w:space="0" w:color="000000"/>
              <w:left w:val="nil"/>
              <w:right w:val="nil"/>
              <w:insideH w:val="nil"/>
              <w:insideV w:val="nil"/>
            </w:tcBorders>
          </w:tcPr>
          <w:p>
            <w:pPr>
              <w:spacing w:before="0" w:after="0" w:line="276" w:lineRule="auto"/>
              <w:ind w:firstLine="0"/>
              <w:jc w:val="center"/>
            </w:pPr>
            <w:r>
              <w:rPr>
                <w:rFonts w:ascii="Times New Roman" w:hAnsi="Times New Roman" w:eastAsia="Times New Roman"/>
                <w:b w:val="0"/>
                <w:i w:val="0"/>
                <w:color w:val="000000"/>
                <w:sz w:val="24"/>
              </w:rPr>
              <w:t>3134</w:t>
            </w:r>
          </w:p>
        </w:tc>
      </w:tr>
    </w:tbl>
    <w:p>
      <w:pPr>
        <w:spacing w:before="60" w:after="240" w:line="480" w:lineRule="auto"/>
        <w:ind w:firstLine="0"/>
        <w:jc w:val="both"/>
      </w:pPr>
      <w:r>
        <w:rPr>
          <w:rFonts w:ascii="Times New Roman" w:hAnsi="Times New Roman" w:eastAsia="Times New Roman"/>
          <w:b w:val="0"/>
          <w:i/>
          <w:color w:val="000000"/>
          <w:sz w:val="22"/>
        </w:rPr>
        <w:t>Note: *** p&lt;0.01, ** p&lt;0.05, * p&lt;0.1. Country and year fixed effects included. The lagged dependent variable is expected to absorb much of the persistence in GDP per capita; the remaining trade coefficient should be interpreted as a short-run association rather than a long-run elasticity.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