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aoy2q2czfqx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 Title: The GovTech Modernisation &amp; Design Readiness Playbook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cy6q6lpwbe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Target User: Senior Design Talent / Principal Designers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51of6a0sb7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Logic Sections: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IMPACT Framework Audit (Strategy)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systematic approach to untangling legacy government systems.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Checklist Items: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 Fitness:</w:t>
      </w:r>
      <w:r w:rsidDel="00000000" w:rsidR="00000000" w:rsidRPr="00000000">
        <w:rPr>
          <w:rtl w:val="0"/>
        </w:rPr>
        <w:t xml:space="preserve"> Does the product hinder policy implementation or frustrate citizens?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 Fitness:</w:t>
      </w:r>
      <w:r w:rsidDel="00000000" w:rsidR="00000000" w:rsidRPr="00000000">
        <w:rPr>
          <w:rtl w:val="0"/>
        </w:rPr>
        <w:t xml:space="preserve"> Is the stack insecure, brittle, or incompatible with the SG Tech Stack (SGTS)?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 Fitness:</w:t>
      </w:r>
      <w:r w:rsidDel="00000000" w:rsidR="00000000" w:rsidRPr="00000000">
        <w:rPr>
          <w:rtl w:val="0"/>
        </w:rPr>
        <w:t xml:space="preserve"> Are maintenance costs disproportionate to the value delivered?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over Feature Parity:</w:t>
      </w:r>
      <w:r w:rsidDel="00000000" w:rsidR="00000000" w:rsidRPr="00000000">
        <w:rPr>
          <w:rtl w:val="0"/>
        </w:rPr>
        <w:t xml:space="preserve"> Are we building for better outcomes (reduced turnaround time) rather than just copying old features?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AI &amp; Engineering Productivity Layer (Efficiency)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GovTech is moving toward "Agentic AI" and human-AI collaboration.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Key Tools: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Litmus:</w:t>
      </w:r>
      <w:r w:rsidDel="00000000" w:rsidR="00000000" w:rsidRPr="00000000">
        <w:rPr>
          <w:rtl w:val="0"/>
        </w:rPr>
        <w:t xml:space="preserve"> Evaluating AI safety and reliability before go-live.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Sentinel:</w:t>
      </w:r>
      <w:r w:rsidDel="00000000" w:rsidR="00000000" w:rsidRPr="00000000">
        <w:rPr>
          <w:rtl w:val="0"/>
        </w:rPr>
        <w:t xml:space="preserve"> Real-time content moderation and output filtering for live AI.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"Commute Build" Standard:</w:t>
      </w:r>
      <w:r w:rsidDel="00000000" w:rsidR="00000000" w:rsidRPr="00000000">
        <w:rPr>
          <w:rtl w:val="0"/>
        </w:rPr>
        <w:t xml:space="preserve"> Prioritizing rapid, intent-driven prototyping (vibe coding) to reduce iteration cycles by 20%+.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Infrastructure Standard (Execution)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Standards: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SGDS (Design System):</w:t>
      </w:r>
      <w:r w:rsidDel="00000000" w:rsidR="00000000" w:rsidRPr="00000000">
        <w:rPr>
          <w:rtl w:val="0"/>
        </w:rPr>
        <w:t xml:space="preserve"> Using plug-and-play components to ensure 100% WCAG 2.1 accessibility compliance.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SGTS (Tech Stack):</w:t>
      </w:r>
      <w:r w:rsidDel="00000000" w:rsidR="00000000" w:rsidRPr="00000000">
        <w:rPr>
          <w:rtl w:val="0"/>
        </w:rPr>
        <w:t xml:space="preserve"> Leveraging shared modules like Singpass, Myinfo, and GovWallet for "national-scale" complexity.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Value Proposition for Nav Pawera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Bridge:</w:t>
      </w:r>
      <w:r w:rsidDel="00000000" w:rsidR="00000000" w:rsidRPr="00000000">
        <w:rPr>
          <w:rtl w:val="0"/>
        </w:rPr>
        <w:t xml:space="preserve"> Aceson brings healthtech rigor (MOH/MSF relevance) and enterprise scale (3,000+ users to 6M citizens).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Multiplier:</w:t>
      </w:r>
      <w:r w:rsidDel="00000000" w:rsidR="00000000" w:rsidRPr="00000000">
        <w:rPr>
          <w:rtl w:val="0"/>
        </w:rPr>
        <w:t xml:space="preserve"> Proven experience mentoring junior designers and aligning PMs/Engineers.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