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A acessibilidade nos sites do Grupo J&amp;F (Friboi, Picpay, e JBS Investimentos analisados) revela um cenário contraditório: há avanços pontuais, mas também falhas estruturais que indicam que a inclusão digital ainda não é tratada com prioridade central.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relatórios técnicos (baseados nas diretrizes WCAG 2.0, 2.1 e 2.2), observa-se que alguns critérios básicos são atendidos. Elementos como uso de atributos </w:t>
      </w:r>
      <w:r w:rsidDel="00000000" w:rsidR="00000000" w:rsidRPr="00000000">
        <w:rPr>
          <w:i w:val="1"/>
          <w:iCs w:val="1"/>
          <w:rtl w:val="0"/>
        </w:rPr>
        <w:t xml:space="preserve">lang</w:t>
      </w:r>
      <w:r w:rsidDel="00000000" w:rsidR="00000000" w:rsidRPr="00000000">
        <w:rPr>
          <w:rtl w:val="0"/>
        </w:rPr>
        <w:t xml:space="preserve">, presença de </w:t>
      </w:r>
      <w:r w:rsidDel="00000000" w:rsidR="00000000" w:rsidRPr="00000000">
        <w:rPr>
          <w:i w:val="1"/>
          <w:iCs w:val="1"/>
          <w:rtl w:val="0"/>
        </w:rPr>
        <w:t xml:space="preserve">alt text</w:t>
      </w:r>
      <w:r w:rsidDel="00000000" w:rsidR="00000000" w:rsidRPr="00000000">
        <w:rPr>
          <w:rtl w:val="0"/>
        </w:rPr>
        <w:t xml:space="preserve"> em imagens e ajustes de responsividade aparecem com taxas razoáveis de sucesso em certos sites. Isso indica que existe, ao menos no nível superficial, uma preocupação com padrões mínimos de acessibilidade.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quando descemos mais fundo, onde a experiência real do usuário acontece, as falhas começam a se acumular.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caso do site do PicPay, por exemplo, os dados mostram problemas graves em estrutura de títulos (0 aprovados e 12 falhas), o que compromete diretamente a navegação por leitores de tela. Além disso, há falhas significativas em contraste de cores (17 erros), algo básico, quase primário — e ainda assim negligenciado. Isso afeta diretamente pessoas com baixa visão, daltonismo e até usuários em condições comuns de iluminação ruim.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ponto crítico está no uso incorreto de atributos ARIA e na falta de consistência entre rótulos visuais e nomes acessíveis. Isso quebra a lógica da navegação assistiva. Em termos simples: o site pode “parecer bonito”, mas não conversa com quem depende de tecnologia assistiva. É como construir uma porta e esquecer de colocar maçaneta.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aparecem problemas recorrentes como: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ausência ou má hierarquia de headings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interativos que não são totalmente acessáveis por teclado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identificação clara em botões e links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inconsistência na estrutura semântica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falhas não são detalhes técnicos isolados — elas formam uma barreira concreta.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aí entra uma leitura mais crítica: acessibilidade não é só uma checklist de conformidade. É sobre quem pode ou não pode participar do espaço digital.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empresas do porte do Grupo J&amp;F apresentam esse tipo de lacuna, não é por falta de recurso. É escolha de prioridade. A tecnologia existe, os padrões são públicos, os guias são claros. O que falta é decisão política dentro do desenvolvimento: colocar a inclusão como requisito — não como ajuste posterior.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indícios visuais (como presença de ícones de Libras ou menções à acessibilidade) sugerem uma tentativa de sinalizar inclusão. Mas os relatórios mostram que, na prática, essa inclusão ainda é incompleta. Existe uma distância entre o discurso e a implementação real.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síntese, os sites do Grupo J&amp;F apresentam um nível intermediário de acessibilidade: cumprem alguns requisitos técnicos básicos, mas falham em aspectos essenciais da experiência inclusiva. Para avançar, não basta corrigir erros isolados — é necessário incorporar acessibilidade como princípio estruturante no desenvolvimento digital.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no fim das contas, acessibilidade não é sobre tecnologia.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sobre quem fica de fora — e quem decide isso.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