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 Packet — Constitutional Law I Course-Knowledge-System Article</w:t>
      </w:r>
    </w:p>
    <w:p>
      <w:pPr>
        <w:pStyle w:val="Subtitle"/>
      </w:pPr>
      <w:r>
        <w:t xml:space="preserve">Start here</w:t>
      </w:r>
    </w:p>
    <w:p>
      <w:pPr>
        <w:pStyle w:val="Date"/>
      </w:pPr>
      <w:r>
        <w:t xml:space="preserve">May 30, 2026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Chandler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A draft law-review article describing the Constitutional Law I course-knowledge system, with supporting materials —</w:t>
      </w:r>
      <w:r>
        <w:t xml:space="preserve"> </w:t>
      </w:r>
      <w:r>
        <w:rPr>
          <w:b/>
          <w:bCs/>
        </w:rPr>
        <w:t xml:space="preserve">for your review; this is not a submission.</w:t>
      </w:r>
      <w:r>
        <w:t xml:space="preserve"> </w:t>
      </w:r>
      <w:r>
        <w:rPr>
          <w:b/>
          <w:bCs/>
        </w:rPr>
        <w:t xml:space="preserve">Companion site:</w:t>
      </w:r>
      <w:r>
        <w:t xml:space="preserve"> </w:t>
      </w:r>
      <w:r>
        <w:t xml:space="preserve">https://constitutionallaw.netlify.app</w:t>
      </w:r>
    </w:p>
    <w:bookmarkStart w:id="9" w:name="what-this-packet-is"/>
    <w:p>
      <w:pPr>
        <w:pStyle w:val="Heading2"/>
      </w:pPr>
      <w:r>
        <w:t xml:space="preserve">What this packet is</w:t>
      </w:r>
    </w:p>
    <w:p>
      <w:pPr>
        <w:pStyle w:val="FirstParagraph"/>
      </w:pPr>
      <w:r>
        <w:t xml:space="preserve">A complete, citation-checked working draft of a method article for the</w:t>
      </w:r>
      <w:r>
        <w:t xml:space="preserve"> </w:t>
      </w:r>
      <w:r>
        <w:rPr>
          <w:i/>
          <w:iCs/>
        </w:rPr>
        <w:t xml:space="preserve">Journal of Legal Education</w:t>
      </w:r>
      <w:r>
        <w:t xml:space="preserve">, with the supporting exhibits a reviewer would want. It describes how your Constitutional Law I archive was converted, under human-reviewed AI assistance, into a navigable, source-verified, student-facing course-knowledge system, and argues that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not the constitutional-law content — is the transferable contribution. The Con Law build is the case study; the live site above is its public instance.</w:t>
      </w:r>
    </w:p>
    <w:bookmarkEnd w:id="9"/>
    <w:bookmarkStart w:id="10" w:name="whats-in-this-packet"/>
    <w:p>
      <w:pPr>
        <w:pStyle w:val="Heading2"/>
      </w:pPr>
      <w:r>
        <w:t xml:space="preserve">What’s in this packet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00-START-HERE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One-page orientation and what I need from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01-Article.docx</w:t>
            </w:r>
          </w:p>
        </w:tc>
        <w:tc>
          <w:tcPr/>
          <w:p>
            <w:pPr>
              <w:pStyle w:val="Compact"/>
            </w:pPr>
            <w:r>
              <w:t xml:space="preserve">The full article — ~14,600 words, 14 sections, real footnotes (Bluebook 21st)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02-Reviewer-Memo.docx</w:t>
            </w:r>
          </w:p>
        </w:tc>
        <w:tc>
          <w:tcPr/>
          <w:p>
            <w:pPr>
              <w:pStyle w:val="Compact"/>
            </w:pPr>
            <w:r>
              <w:t xml:space="preserve">The detailed hand-off: status, what was checked, every open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03-Appendices.docx</w:t>
            </w:r>
          </w:p>
        </w:tc>
        <w:tc>
          <w:tcPr/>
          <w:p>
            <w:pPr>
              <w:pStyle w:val="Compact"/>
            </w:pPr>
            <w:r>
              <w:t xml:space="preserve">Supporting exhibits A–F (input inventory, AI tooling, templates, rubric,</w:t>
            </w:r>
            <w:r>
              <w:t xml:space="preserve"> </w:t>
            </w:r>
            <w:r>
              <w:rPr>
                <w:b/>
                <w:bCs/>
              </w:rPr>
              <w:t xml:space="preserve">cost log</w:t>
            </w:r>
            <w:r>
              <w:t xml:space="preserve">, technical setup)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04-How-This-Article-Was-Written.docx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Optional.</w:t>
            </w:r>
            <w:r>
              <w:t xml:space="preserve"> </w:t>
            </w:r>
            <w:r>
              <w:t xml:space="preserve">How the paper itself was drafted by an autonomous loop — behind-the-scenes, not part of the article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order:</w:t>
      </w:r>
      <w:r>
        <w:t xml:space="preserve"> </w:t>
      </w:r>
      <w:r>
        <w:t xml:space="preserve">skim this page, read the Reviewer-Memo (§§1–4), then the Article. Appendices and the companion note are reference reading.</w:t>
      </w:r>
    </w:p>
    <w:bookmarkEnd w:id="10"/>
    <w:bookmarkStart w:id="11" w:name="what-im-asking-of-you"/>
    <w:p>
      <w:pPr>
        <w:pStyle w:val="Heading2"/>
      </w:pPr>
      <w:r>
        <w:t xml:space="preserve">What I’m asking of you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for substance and voice</w:t>
      </w:r>
      <w:r>
        <w:t xml:space="preserve"> </w:t>
      </w:r>
      <w:r>
        <w:t xml:space="preserve">— does the argument land, and does it sound like something you’d put your name to?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 two facts about the course</w:t>
      </w:r>
      <w:r>
        <w:t xml:space="preserve"> </w:t>
      </w:r>
      <w:r>
        <w:t xml:space="preserve">(the draft states them on the author’s understanding):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Casebook:</w:t>
      </w:r>
      <w:r>
        <w:t xml:space="preserve"> </w:t>
      </w:r>
      <w:r>
        <w:t xml:space="preserve">the corpus is your own course materials, with</w:t>
      </w:r>
      <w:r>
        <w:t xml:space="preserve"> </w:t>
      </w:r>
      <w:r>
        <w:rPr>
          <w:b/>
          <w:bCs/>
        </w:rPr>
        <w:t xml:space="preserve">no casebook excerpts</w:t>
      </w:r>
      <w:r>
        <w:t xml:space="preserve"> </w:t>
      </w:r>
      <w:r>
        <w:t xml:space="preserve">ingested — correct?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Review coverage:</w:t>
      </w:r>
      <w:r>
        <w:t xml:space="preserve"> </w:t>
      </w:r>
      <w:r>
        <w:t xml:space="preserve">the pages shipped</w:t>
      </w:r>
      <w:r>
        <w:t xml:space="preserve"> </w:t>
      </w:r>
      <w:r>
        <w:rPr>
          <w:b/>
          <w:bCs/>
        </w:rPr>
        <w:t xml:space="preserve">review-ready but were not individually professor-reviewed before going live</w:t>
      </w:r>
      <w:r>
        <w:t xml:space="preserve"> </w:t>
      </w:r>
      <w:r>
        <w:t xml:space="preserve">— is that the right characterization? (If any or all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reviewed, tell us and we’ll say so.)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open invitation (§X.E):</w:t>
      </w:r>
      <w:r>
        <w:t xml:space="preserve"> </w:t>
      </w:r>
      <w:r>
        <w:t xml:space="preserve">if you have a course in mind for a second build (Torts? Contracts?), naming it strengthens the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the page-proof items</w:t>
      </w:r>
      <w:r>
        <w:t xml:space="preserve"> </w:t>
      </w:r>
      <w:r>
        <w:t xml:space="preserve">in the Reviewer-Memo (a few edited-volume page pins; one cited study PNAS later corrected).</w:t>
      </w:r>
    </w:p>
    <w:bookmarkEnd w:id="11"/>
    <w:bookmarkStart w:id="12" w:name="status-in-one-line"/>
    <w:p>
      <w:pPr>
        <w:pStyle w:val="Heading2"/>
      </w:pPr>
      <w:r>
        <w:t xml:space="preserve">Status in one line</w:t>
      </w:r>
    </w:p>
    <w:p>
      <w:pPr>
        <w:pStyle w:val="FirstParagraph"/>
      </w:pPr>
      <w:r>
        <w:t xml:space="preserve">Constitutional-law doctrine independently audited clean (0 stale holdings); citations checked for liveness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support; literature anchored in the legal-education canon;</w:t>
      </w:r>
      <w:r>
        <w:t xml:space="preserve"> </w:t>
      </w:r>
      <w:r>
        <w:rPr>
          <w:b/>
          <w:bCs/>
        </w:rPr>
        <w:t xml:space="preserve">§IX now reports the cost of building the vault</w:t>
      </w:r>
      <w:r>
        <w:t xml:space="preserve"> </w:t>
      </w:r>
      <w:r>
        <w:t xml:space="preserve">(255 automated runs over ~3 weeks, eight-phase rotation, 198-page deliverable — no dollar/hours figure claimed because per-run cost was never metered); ~14,600 words (a short trim brings it under JLE’s 14,000 ceiling); figures still need format conversion before any submission.</w:t>
      </w:r>
    </w:p>
    <w:bookmarkEnd w:id="12"/>
    <w:bookmarkStart w:id="13" w:name="X393ad669da788a3b338b958fba7356fa3ed974a"/>
    <w:p>
      <w:pPr>
        <w:pStyle w:val="Heading2"/>
      </w:pPr>
      <w:r>
        <w:t xml:space="preserve">A couple of things you’ll notice (and that are expected)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Repeat citations show the full footnote twice.</w:t>
      </w:r>
      <w:r>
        <w:t xml:space="preserve"> </w:t>
      </w:r>
      <w:r>
        <w:t xml:space="preserve">A handful of sources cited at several points (e.g., Choi &amp; Schwarcz) currently repeat the full citation rather than using the Bluebook</w:t>
      </w:r>
      <w:r>
        <w:t xml:space="preserve"> </w:t>
      </w:r>
      <w:r>
        <w:rPr>
          <w:i/>
          <w:iCs/>
        </w:rPr>
        <w:t xml:space="preserve">supra</w:t>
      </w:r>
      <w:r>
        <w:t xml:space="preserve"> </w:t>
      </w:r>
      <w:r>
        <w:t xml:space="preserve">short-form. The citations are correct; the short-form pass is a copy-edit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are described, not embedded.</w:t>
      </w:r>
      <w:r>
        <w:t xml:space="preserve"> </w:t>
      </w:r>
      <w:r>
        <w:t xml:space="preserve">The article references figures that still need conversion to JLE’s format (≥300 dpi, separate files) before submission.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 Packet — Constitutional Law I Course-Knowledge-System Article</dc:title>
  <dc:creator/>
  <cp:keywords/>
  <dcterms:created xsi:type="dcterms:W3CDTF">2026-05-31T04:29:03Z</dcterms:created>
  <dcterms:modified xsi:type="dcterms:W3CDTF">2026-05-31T04:29:03Z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30, 2026</vt:lpwstr>
  </property>
  <property fmtid="{D5CDD505-2E9C-101B-9397-08002B2CF9AE}" pid="3" name="subtitle">
    <vt:lpwstr>Start here</vt:lpwstr>
  </property>
</Properties>
</file>