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Casebook to Course Knowledge System: AI-Assisted Synthesis and Obsidian</w:t>
      </w:r>
    </w:p>
    <w:p>
      <w:pPr>
        <w:pStyle w:val="Subtitle"/>
      </w:pPr>
      <w:r>
        <w:t xml:space="preserve">Draft for review — prepared for submission to the Journal of Legal Education (Bluebook 21st ed.)</w:t>
      </w:r>
    </w:p>
    <w:p>
      <w:pPr>
        <w:pStyle w:val="Author"/>
      </w:pPr>
      <w:r>
        <w:t xml:space="preserve">[Author name and affiliation — to be supplied]</w:t>
      </w:r>
    </w:p>
    <w:p>
      <w:pPr>
        <w:pStyle w:val="Date"/>
      </w:pPr>
      <w:r>
        <w:t xml:space="preserve">May 30, 2026</w:t>
      </w:r>
    </w:p>
    <w:bookmarkStart w:id="9" w:name="abstract"/>
    <w:p>
      <w:pPr>
        <w:pStyle w:val="Heading2"/>
      </w:pPr>
      <w:r>
        <w:t xml:space="preserve">Abstract</w:t>
      </w:r>
    </w:p>
    <w:p>
      <w:pPr>
        <w:pStyle w:val="FirstParagraph"/>
      </w:pPr>
      <w:r>
        <w:t xml:space="preserve">Law professors accumulate course-specific knowledge that rarely leaves the filing cabinet: syllabi, class notes, hypotheticals, case annotations, doctrinal explanations, and hard-won judgment about where students stumble. This article argues that generative AI, combined with structured source materials, Obsidian-style markdown notes, build-time linking to verified legal sources, and iterative expert review, can convert that dispersed archive into a navigable, cross-linked course knowledge system that students can browse. The contribution is the method, not the artifact. A constitutional-law knowledge system, built from one professor’s Con Law I materials and published as a review-ready static website, serves as the case study that makes the method concrete. The pipeline runs from source files to typed markdown notes to a deployed site, governed by per-phase rubrics, a running lessons file, and a forced-finding verification pass adapted from the iterative loops now common in software. The architecture is a review-ready static site, not a chatbot or conversational tutor; professorial judgment is the designed gatekeeper at every stage, and the published snapshot is offered as review-ready rather than as individually professor-approved, a posture that keeps that judgment reusable, inspectable, and publishable. The article reports cost and labor honestly and declines to claim learning gains: it measures how the system was built and what it cost, not whether students performed better, a question it marks for separate study. It also bounds its own generality, treating constitutional law as one well-suited base case rather than proof that every doctrinal course will transfer cleanly. The method is offered as replicable by faculty whose courses carry similar archives.</w:t>
      </w:r>
    </w:p>
    <w:p>
      <w:r>
        <w:pict>
          <v:rect style="width:0;height:1.5pt" o:hralign="center" o:hrstd="t" o:hr="t"/>
        </w:pict>
      </w:r>
    </w:p>
    <w:bookmarkEnd w:id="9"/>
    <w:bookmarkStart w:id="24" w:name="Xa14d29e9917f013d3097d44a65a4c46a9daeb96"/>
    <w:p>
      <w:pPr>
        <w:pStyle w:val="Heading1"/>
      </w:pPr>
      <w:r>
        <w:t xml:space="preserve">I. Introduction: The Hidden Archive of the Law Professor</w:t>
      </w:r>
    </w:p>
    <w:bookmarkStart w:id="11" w:name="a.-the-archive-no-one-can-open"/>
    <w:p>
      <w:pPr>
        <w:pStyle w:val="Heading2"/>
      </w:pPr>
      <w:r>
        <w:t xml:space="preserve">A. The archive no one can open</w:t>
      </w:r>
    </w:p>
    <w:p>
      <w:pPr>
        <w:pStyle w:val="FirstParagraph"/>
      </w:pPr>
      <w:r>
        <w:t xml:space="preserve">Every experienced doctrinal teacher carries a course in two places: inside their head and across a hard drive. The drive holds syllabi, lecture decks, annotated cases, hypotheticals tried and discarded, and exam rubrics. The head holds the rest, including the accumulated judgment about exactly where a class loses the thread of a doctrine and what question pulls it back. This is real intellectual capital, and almost none of it sits in a form a second person can use. The files arrive in a learning-management folder as a flat list organized only by name.</w:t>
      </w:r>
      <w:r>
        <w:rPr>
          <w:rStyle w:val="FootnoteReference"/>
        </w:rPr>
        <w:footnoteReference w:id="10"/>
      </w:r>
      <w:r>
        <w:t xml:space="preserve"> </w:t>
      </w:r>
      <w:r>
        <w:t xml:space="preserve">The judgment lives in the professor and in the live classroom, where it is performed once. That live performance is the irreplaceable act of teaching, and the method described below does not seek to replace it. It seeks only to preserve its residue, the structure and reasoning, not the adaptive Socratic exchange or the live reading of student confusion, a loss Section XII counts rather than minimizes. Over years the professor also learns which sequence of cases builds an argument and which detours cost a week, yet that ordering rationale rarely survives outside the syllabus’s bare list of assignments. A successor instructor inherits the syllabus but not the reasoning that built it. A student receives the assigned reading but not the map that joins one week’s case to the next. The archive exists, yet no one, the professor included, can open it as a whole.</w:t>
      </w:r>
    </w:p>
    <w:bookmarkEnd w:id="11"/>
    <w:bookmarkStart w:id="15" w:name="b.-the-claim"/>
    <w:p>
      <w:pPr>
        <w:pStyle w:val="Heading2"/>
      </w:pPr>
      <w:r>
        <w:t xml:space="preserve">B. The claim</w:t>
      </w:r>
    </w:p>
    <w:p>
      <w:pPr>
        <w:pStyle w:val="FirstParagraph"/>
      </w:pPr>
      <w:r>
        <w:t xml:space="preserve">This article describes a method for opening that archive. Generative AI, working on structured source materials, Obsidian-style markdown notes, build-time linking to verified legal sources, and iterative expert review, can convert a professor’s scattered course materials into a navigable, cross-linked, student-facing course knowledge system. The constitutional-law case study below is the demonstration; the transferable contribution is the method, which other doctrinal courses with similar archives can follow, a claim Section X develops and bounds rather than one the introduction presumes. The essential feature is not automation. The essential feature is iteration under the control of a human expert, whose pedagogical judgment shapes what the system is asked to produce, a design task Section VI develops. Review here is not a gloss applied at the end. It is built into the process at defined checkpoints, where the professor inspects what the system has drafted, corrects what is wrong, and decides whether the work advances or returns for another pass.</w:t>
      </w:r>
      <w:r>
        <w:rPr>
          <w:rStyle w:val="FootnoteReference"/>
        </w:rPr>
        <w:footnoteReference w:id="12"/>
      </w:r>
    </w:p>
    <w:p>
      <w:pPr>
        <w:pStyle w:val="BodyText"/>
      </w:pPr>
      <w:r>
        <w:t xml:space="preserve">The article is not the announcement of an AI teaching assistant, and it is not a chatbot placed in front of students. The case study is a review-ready static website, not a conversational agent, and that architectural choice carries the article’s later argument about risk.</w:t>
      </w:r>
      <w:r>
        <w:rPr>
          <w:rStyle w:val="FootnoteReference"/>
        </w:rPr>
        <w:footnoteReference w:id="13"/>
      </w:r>
      <w:r>
        <w:t xml:space="preserve"> </w:t>
      </w:r>
      <w:r>
        <w:t xml:space="preserve">The article also makes no claim that students learned more, because it has not run the study that would license such a claim.</w:t>
      </w:r>
      <w:r>
        <w:rPr>
          <w:rStyle w:val="FootnoteReference"/>
        </w:rPr>
        <w:footnoteReference w:id="14"/>
      </w:r>
      <w:r>
        <w:t xml:space="preserve"> </w:t>
      </w:r>
      <w:r>
        <w:t xml:space="preserve">The system did not replace professorial judgment; it made that judgment reusable, inspectable, and publishable.</w:t>
      </w:r>
    </w:p>
    <w:bookmarkEnd w:id="15"/>
    <w:bookmarkStart w:id="19" w:name="c.-the-case-study-in-one-breath"/>
    <w:p>
      <w:pPr>
        <w:pStyle w:val="Heading2"/>
      </w:pPr>
      <w:r>
        <w:t xml:space="preserve">C. The case study, in one breath</w:t>
      </w:r>
    </w:p>
    <w:p>
      <w:pPr>
        <w:pStyle w:val="FirstParagraph"/>
      </w:pPr>
      <w:r>
        <w:t xml:space="preserve">The case study is concrete and public. A single professor’s Constitutional Law I course, taught in a single semester, became a live knowledge system that stood at 198 pages as of the progress-report snapshot, comprising 92 case briefs, 27 doctrinal topic pages, and 79 lecture summaries, published at https://constitutionallaw.netlify.app and readable by anyone with a browser and connectivity, an access assumption Section XII examines.</w:t>
      </w:r>
      <w:r>
        <w:rPr>
          <w:rStyle w:val="FootnoteReference"/>
        </w:rPr>
        <w:footnoteReference w:id="16"/>
      </w:r>
      <w:r>
        <w:t xml:space="preserve"> </w:t>
      </w:r>
      <w:r>
        <w:t xml:space="preserve">That page count is a fixed snapshot, not the site’s present size, and Section IV reconciles it against a later filesystem audit. Each case page is written against the indexed judicial opinion rather than a paraphrase of it, so a quotation a student relies on can be traced to the source that controls it.</w:t>
      </w:r>
      <w:r>
        <w:rPr>
          <w:rStyle w:val="FootnoteReference"/>
        </w:rPr>
        <w:footnoteReference w:id="17"/>
      </w:r>
      <w:r>
        <w:t xml:space="preserve"> </w:t>
      </w:r>
      <w:r>
        <w:t xml:space="preserve">The doctrinal scope is the structural constitution and the core individual-rights doctrines of a one-semester course: judicial review, federalism, separation of powers, the commerce power, executive authority, justiciability, and the Reconstruction amendments are among them.</w:t>
      </w:r>
      <w:r>
        <w:rPr>
          <w:rStyle w:val="FootnoteReference"/>
        </w:rPr>
        <w:footnoteReference w:id="18"/>
      </w:r>
      <w:r>
        <w:t xml:space="preserve"> </w:t>
      </w:r>
      <w:r>
        <w:t xml:space="preserve">The article’s later claim that the method generalizes beyond constitutional law rests on a clearly bounded base case, so the scope is fixed before that argument is made.</w:t>
      </w:r>
    </w:p>
    <w:bookmarkEnd w:id="19"/>
    <w:bookmarkStart w:id="22" w:name="d.-the-conversation-this-enters"/>
    <w:p>
      <w:pPr>
        <w:pStyle w:val="Heading2"/>
      </w:pPr>
      <w:r>
        <w:t xml:space="preserve">D. The conversation this enters</w:t>
      </w:r>
    </w:p>
    <w:p>
      <w:pPr>
        <w:pStyle w:val="FirstParagraph"/>
      </w:pPr>
      <w:r>
        <w:t xml:space="preserve">The article enters a conversation the Journal of Legal Education has already begun. Recent empirical work in these pages reports that AI assistance can help weaker students more than stronger ones on law-school examinations, with a potential equalizing effect.</w:t>
      </w:r>
      <w:r>
        <w:rPr>
          <w:rStyle w:val="FootnoteReference"/>
        </w:rPr>
        <w:footnoteReference w:id="20"/>
      </w:r>
      <w:r>
        <w:t xml:space="preserve"> </w:t>
      </w:r>
      <w:r>
        <w:t xml:space="preserve">That study models the proportional rigor available to a single course, showing that serious inquiry into AI and legal learning is possible without overclaiming and without awaiting a controlled trial the course cannot run. The wider field is larger than any single study, and a recent meta-review of artificial intelligence in higher education calls that body of work to greater ethics, collaboration, and rigor.</w:t>
      </w:r>
      <w:r>
        <w:rPr>
          <w:rStyle w:val="FootnoteReference"/>
        </w:rPr>
        <w:footnoteReference w:id="21"/>
      </w:r>
      <w:r>
        <w:t xml:space="preserve"> </w:t>
      </w:r>
      <w:r>
        <w:t xml:space="preserve">This article takes up its ethics and rigor; collaboration is the prong a single-author case study can least claim, as Section XII concedes. This article’s contribution sits upstream of any classroom intervention. It concerns the infrastructure a professor assembles before a student arrives, and it insists that a human expert remain in command of each step that builds it. The question it takes up is therefore not whether a model can answer a student’s query, but whether a professor can turn a career’s worth of dispersed materials into a resource that others can read, check, and build on.</w:t>
      </w:r>
    </w:p>
    <w:bookmarkEnd w:id="22"/>
    <w:bookmarkStart w:id="23" w:name="e.-the-shape-of-the-argument"/>
    <w:p>
      <w:pPr>
        <w:pStyle w:val="Heading2"/>
      </w:pPr>
      <w:r>
        <w:t xml:space="preserve">E. The shape of the argument</w:t>
      </w:r>
    </w:p>
    <w:p>
      <w:pPr>
        <w:pStyle w:val="FirstParagraph"/>
      </w:pPr>
      <w:r>
        <w:t xml:space="preserve">The argument proceeds in the order a reader needs it. It begins with why ordinary course infrastructure, the casebook, the syllabus, the slide deck, and the learning-management folder, cannot produce a course knowledge system on its own. It then presents the case study and the corpus and schemas that constitute it, the prompting practice that shaped its pages, and the iterative loop, run under professorial review, that improved them. It accounts honestly for publication and for cost in dollars and hours, and it closes with generalization to other courses, an evaluation plan proportional to the claims, the risks the approach carries, and the institutional questions it raises. Throughout, the constitutional-law content is the example. The method is the result the article asks other faculty to reuse.</w:t>
      </w:r>
    </w:p>
    <w:bookmarkEnd w:id="23"/>
    <w:bookmarkEnd w:id="24"/>
    <w:bookmarkStart w:id="44" w:name="X92c2f9681e7ddd855b8794cc0990222e1683d0b"/>
    <w:p>
      <w:pPr>
        <w:pStyle w:val="Heading1"/>
      </w:pPr>
      <w:r>
        <w:t xml:space="preserve">II. Why Ordinary Course Infrastructure Is Not Enough</w:t>
      </w:r>
    </w:p>
    <w:bookmarkStart w:id="26" w:name="X30f6d010f2d868ac090a765046585113889519a"/>
    <w:p>
      <w:pPr>
        <w:pStyle w:val="Heading2"/>
      </w:pPr>
      <w:r>
        <w:t xml:space="preserve">A. The long-range frame: a static method on shifting ground</w:t>
      </w:r>
    </w:p>
    <w:p>
      <w:pPr>
        <w:pStyle w:val="FirstParagraph"/>
      </w:pPr>
      <w:r>
        <w:t xml:space="preserve">The casebook has been the spine of doctrinal teaching for more than a century and a half, and any proposal that takes itself seriously has to begin with that fact rather than wish it away. Edward Rubin’s account traces the persistence of the Langdellian method from the 1870s to the present and treats its survival across enormous changes in law, practice, theory, and pedagogy as a central long-range observation about how American law schools teach.</w:t>
      </w:r>
      <w:r>
        <w:rPr>
          <w:rStyle w:val="FootnoteReference"/>
        </w:rPr>
        <w:footnoteReference w:id="25"/>
      </w:r>
      <w:r>
        <w:t xml:space="preserve"> </w:t>
      </w:r>
      <w:r>
        <w:t xml:space="preserve">The article that follows does not argue for retiring the casebook, the case method, or the assigned reading list. It argues that the inherited inventory of teaching forms is incomplete: a course knowledge system is the layer the casebook never carried and was never designed to be.</w:t>
      </w:r>
    </w:p>
    <w:bookmarkEnd w:id="26"/>
    <w:bookmarkStart w:id="29" w:name="Xecb2938436cf2c545621c3c1b3ee0c895896d39"/>
    <w:p>
      <w:pPr>
        <w:pStyle w:val="Heading2"/>
      </w:pPr>
      <w:r>
        <w:t xml:space="preserve">B. What ordinary course infrastructure produces: an inventory</w:t>
      </w:r>
    </w:p>
    <w:p>
      <w:pPr>
        <w:pStyle w:val="FirstParagraph"/>
      </w:pPr>
      <w:r>
        <w:t xml:space="preserve">The Constitutional Law I vault began as a flat folder of more than two hundred sixty files exported from a law-school course management system: sixty-one PowerPoint lecture decks, sixty-six PDFs of case readings, a dozen merged reading packets, several practice exams, a set of teaching guides, and an Uploaded Media subfolder of case-opinion PDFs, all organized only by filename.</w:t>
      </w:r>
      <w:r>
        <w:rPr>
          <w:rStyle w:val="FootnoteReference"/>
        </w:rPr>
        <w:footnoteReference w:id="27"/>
      </w:r>
      <w:r>
        <w:t xml:space="preserve"> </w:t>
      </w:r>
      <w:r>
        <w:t xml:space="preserve">The export carried no structural index, doctrinal map, per-lecture-to-case cross-reference, or synthesis layer above the inventory. The May 2026 progress snapshot records one hundred ninety-eight pages of structured prose alongside one hundred fifty-four still-unprocessed source materials. Their coexistence at one snapshot date is the operational fact: turning the inventory into the system is separate work.</w:t>
      </w:r>
      <w:r>
        <w:rPr>
          <w:rStyle w:val="FootnoteReference"/>
        </w:rPr>
        <w:footnoteReference w:id="28"/>
      </w:r>
      <w:r>
        <w:t xml:space="preserve"> </w:t>
      </w:r>
      <w:r>
        <w:t xml:space="preserve">Both corpora presuppose Canvas-enrolled students with broadband and devices able to render the modernized PDFs and the deployed wiki; Section XII takes up the equity and access implications.</w:t>
      </w:r>
    </w:p>
    <w:bookmarkEnd w:id="29"/>
    <w:bookmarkStart w:id="32" w:name="X0e1ca6a001dd5dcf6ed931a0ae9f4cb4f8b6469"/>
    <w:p>
      <w:pPr>
        <w:pStyle w:val="Heading2"/>
      </w:pPr>
      <w:r>
        <w:t xml:space="preserve">C. The performed teaching ordinary infrastructure does not capture</w:t>
      </w:r>
    </w:p>
    <w:p>
      <w:pPr>
        <w:pStyle w:val="FirstParagraph"/>
      </w:pPr>
      <w:r>
        <w:t xml:space="preserve">Elizabeth Mertz’s ethnographic study of first-year Contracts classrooms records that much of what a professor teaches happens in real-time Socratic exchange, framing moves, hedges, and the moment-by-moment shaping of how a case gets read, and that little of that performance lands in any artifact a student or successor instructor can return to later.</w:t>
      </w:r>
      <w:r>
        <w:rPr>
          <w:rStyle w:val="FootnoteReference"/>
        </w:rPr>
        <w:footnoteReference w:id="30"/>
      </w:r>
      <w:r>
        <w:t xml:space="preserve"> </w:t>
      </w:r>
      <w:r>
        <w:t xml:space="preserve">The casebook holds the case the publisher prints; the syllabus assigns the reading; the LMS posts the link; the slide deck quotes the holding. None of those was built to capture the performed component of the teaching, which lives in the live event rather than in the artifacts the live event leaves behind. A second, sharper version of the same gap is verification: when a professor’s modernized PDF silently updated archaic phrasing in a Civil War-era opinion, no piece of the inherited inventory could compare the prose the student read against the indexed opinion that controlled, and Section VII tells that story in full.</w:t>
      </w:r>
      <w:r>
        <w:rPr>
          <w:rStyle w:val="FootnoteReference"/>
        </w:rPr>
        <w:footnoteReference w:id="31"/>
      </w:r>
    </w:p>
    <w:bookmarkEnd w:id="32"/>
    <w:bookmarkStart w:id="35" w:name="Xad59f50a7e5f7d3d2ee95bee73393960808f7f9"/>
    <w:p>
      <w:pPr>
        <w:pStyle w:val="Heading2"/>
      </w:pPr>
      <w:r>
        <w:t xml:space="preserve">D. The synthesis and graph affordances ordinary infrastructure does not produce</w:t>
      </w:r>
    </w:p>
    <w:p>
      <w:pPr>
        <w:pStyle w:val="FirstParagraph"/>
      </w:pPr>
      <w:r>
        <w:t xml:space="preserve">A third affordance the inherited inventory does not produce is the doctrinal-synthesis view a student actually needs at exam time. The May 2026 stages email describes the Topic page as the synthesis surface of the vault: a page that gathers every case brief and lecture summary touching a doctrine into a single view carrying the governing rule, doctrinal development from the earliest controlling case to the most recent, a Key Cases comparison table, hypotheticals, an exam-spotting framework, and a critique block, with Commerce Clause as the running example.</w:t>
      </w:r>
      <w:r>
        <w:rPr>
          <w:rStyle w:val="FootnoteReference"/>
        </w:rPr>
        <w:footnoteReference w:id="33"/>
      </w:r>
      <w:r>
        <w:t xml:space="preserve"> </w:t>
      </w:r>
      <w:r>
        <w:t xml:space="preserve">A casebook organizes the doctrine through chapter sequences and the case method, a syllabus orders that material by week, and an LMS posts the resulting artifacts by date and folder, but none of those forms produces the per-doctrine synthesis view the Topic page is. A fourth gap is navigational. The deployed vault carries a wiki-link grammar: Topic pages link to their cases and lectures; cases link back to topics and forward to citing cases; lectures link to the cases and topics each covered. None of the casebook, syllabus, LMS, or slide deck produces that doctrinal-map navigation surface, because none is a hypertext graph.</w:t>
      </w:r>
      <w:r>
        <w:rPr>
          <w:rStyle w:val="FootnoteReference"/>
        </w:rPr>
        <w:footnoteReference w:id="34"/>
      </w:r>
    </w:p>
    <w:bookmarkEnd w:id="35"/>
    <w:bookmarkStart w:id="40" w:name="Xd0b5fb9a6adc4b16f62bf5f8cb5a9e9aaffe2cf"/>
    <w:p>
      <w:pPr>
        <w:pStyle w:val="Heading2"/>
      </w:pPr>
      <w:r>
        <w:t xml:space="preserve">E. Positioning within the JLE pedagogical-reform line</w:t>
      </w:r>
    </w:p>
    <w:p>
      <w:pPr>
        <w:pStyle w:val="FirstParagraph"/>
      </w:pPr>
      <w:r>
        <w:t xml:space="preserve">The course knowledge system extends the casebook, the syllabus, and the live classroom rather than displacing any of them. Jamie R. Abrams’s reframing of the Socratic method belongs to a Journal of Legal Education line of pedagogical-reform pieces that adapt inherited teaching forms instead of rejecting them, and the same move applies here: the inherited form is not the deficiency the proposal is built to remedy, and the contribution is the layer the inherited form was never designed to carry.</w:t>
      </w:r>
      <w:r>
        <w:rPr>
          <w:rStyle w:val="FootnoteReference"/>
        </w:rPr>
        <w:footnoteReference w:id="36"/>
      </w:r>
      <w:r>
        <w:t xml:space="preserve"> </w:t>
      </w:r>
      <w:r>
        <w:t xml:space="preserve">The line itself is older than its recent JLE representatives. The Carnegie Report and the Best Practices for Legal Education road map are the load-bearing modern statements of pedagogical reform by augmentation rather than replacement.</w:t>
      </w:r>
      <w:r>
        <w:rPr>
          <w:rStyle w:val="FootnoteReference"/>
        </w:rPr>
        <w:footnoteReference w:id="37"/>
      </w:r>
      <w:r>
        <w:t xml:space="preserve"> </w:t>
      </w:r>
      <w:r>
        <w:t xml:space="preserve">Susan Sturm and Lani Guinier’s law-school-matrix critique anchors the institutional-culture diagnosis the proposed course-knowledge layer has to take into account.</w:t>
      </w:r>
      <w:r>
        <w:rPr>
          <w:rStyle w:val="FootnoteReference"/>
        </w:rPr>
        <w:footnoteReference w:id="38"/>
      </w:r>
      <w:r>
        <w:t xml:space="preserve"> </w:t>
      </w:r>
      <w:r>
        <w:t xml:space="preserve">The article also engages the AI-in-higher-education research literature, whose most recent meta-review of that field calls for greater ethics, collaboration, and rigour in how such research is conducted and reported.</w:t>
      </w:r>
      <w:r>
        <w:rPr>
          <w:rStyle w:val="FootnoteReference"/>
        </w:rPr>
        <w:footnoteReference w:id="39"/>
      </w:r>
      <w:r>
        <w:t xml:space="preserve"> </w:t>
      </w:r>
      <w:r>
        <w:t xml:space="preserve">What carries over from that meta-review is its evidentiary standard, which this article meets by disclaiming learning-outcomes gains and cataloguing risks in Section XII; what does not carry over is the chatbot-tutor and adaptive-system intervention setting it surveys, because the case study here is a review-ready static publication that places no model in front of the student.</w:t>
      </w:r>
    </w:p>
    <w:bookmarkEnd w:id="40"/>
    <w:bookmarkStart w:id="43" w:name="X7184ad8f0d01ca9d83916846750288e26692c8f"/>
    <w:p>
      <w:pPr>
        <w:pStyle w:val="Heading2"/>
      </w:pPr>
      <w:r>
        <w:t xml:space="preserve">F. Adjacent tools, and what the method adds</w:t>
      </w:r>
    </w:p>
    <w:p>
      <w:pPr>
        <w:pStyle w:val="FirstParagraph"/>
      </w:pPr>
      <w:r>
        <w:t xml:space="preserve">Three families of existing tools sit near this proposal, and none occupies its position. The first is the commercial study aid: Quimbee, CrunchTime, and Oyez supply case summaries, outlines, and audio across the standard curriculum, and Studicata pairs editorial review with drafting assistance to produce its briefs.</w:t>
      </w:r>
      <w:r>
        <w:rPr>
          <w:rStyle w:val="FootnoteReference"/>
        </w:rPr>
        <w:footnoteReference w:id="41"/>
      </w:r>
      <w:r>
        <w:t xml:space="preserve"> </w:t>
      </w:r>
      <w:r>
        <w:t xml:space="preserve">Studicata’s draft-then-review approach is the closest methodological analogue. Each of those products scales one editorial voice across many courses for a paying student. By contrast, the course knowledge system preserves a single professor’s judgment over that professor’s own course, with every quotation traced to the controlling opinion. The second family is the published personal knowledge base, the linked, evergreen “digital garden” that writers such as Sönke Ahrens and Andy Matuschak have developed and that the Obsidian community now publishes routinely.</w:t>
      </w:r>
      <w:r>
        <w:rPr>
          <w:rStyle w:val="FootnoteReference"/>
        </w:rPr>
        <w:footnoteReference w:id="42"/>
      </w:r>
      <w:r>
        <w:t xml:space="preserve"> </w:t>
      </w:r>
      <w:r>
        <w:t xml:space="preserve">The form is a real precedent; what is new is applying it to a doctrinal course under source verification and professorial review rather than to a writer’s private notes. The third family comprises the alternatives the article distinguishes elsewhere: the runtime AI tutor (Section X), the open casebook (Section XIII), and the autonomous build loop (Section VII). Across all three the distinguishing commitments hold constant. Accuracy is a property of a review-ready static artifact rather than of a model answering at the moment of the query; the judgment preserved is one identified professor’s rather than a commercial or crowd aggregate; and the navigational graph grows from a personal teaching archive rather than from a casebook’s linear sequence or a machine-reasoning legal ontology. Section III walks the deployed instance where those three commitments (accuracy, single-professor judgment, and the personal teaching archive) take physical form.</w:t>
      </w:r>
    </w:p>
    <w:bookmarkEnd w:id="43"/>
    <w:bookmarkEnd w:id="44"/>
    <w:bookmarkStart w:id="68" w:name="X25e7ce28ac3857da89184811c60eb1d868e950c"/>
    <w:p>
      <w:pPr>
        <w:pStyle w:val="Heading1"/>
      </w:pPr>
      <w:r>
        <w:t xml:space="preserve">III. Case Study: A Constitutional-Law Knowledge System</w:t>
      </w:r>
    </w:p>
    <w:bookmarkStart w:id="48" w:name="Xa3a8ddc7a567800e3b87ce6ef3e3aaa4bf607b8"/>
    <w:p>
      <w:pPr>
        <w:pStyle w:val="Heading2"/>
      </w:pPr>
      <w:r>
        <w:t xml:space="preserve">A. The entry shell and the discovery surfaces</w:t>
      </w:r>
    </w:p>
    <w:p>
      <w:pPr>
        <w:pStyle w:val="FirstParagraph"/>
      </w:pPr>
      <w:r>
        <w:t xml:space="preserve">A student opens the deployed case study at https://constitutionallaw.netlify.app and meets a fixed shell: a top-nav listing Dashboard, Cases, Topics, Lectures, Recent, and About; a course brand row reading “Con Law I · Prof. Chandler · Spring 2026”; and a search-palette trigger labeled “Search cases, topics, doctrines” bound to ⌘K (Figure 3.1).</w:t>
      </w:r>
      <w:r>
        <w:rPr>
          <w:rStyle w:val="FootnoteReference"/>
        </w:rPr>
        <w:footnoteReference w:id="45"/>
      </w:r>
      <w:r>
        <w:rPr>
          <w:rStyle w:val="FootnoteReference"/>
        </w:rPr>
        <w:footnoteReference w:id="46"/>
      </w:r>
      <w:r>
        <w:t xml:space="preserve"> </w:t>
      </w:r>
      <w:r>
        <w:t xml:space="preserve">There is no login, no chat box, no account, and no personalization surface. Every visitor sees the same shell, and every top-nav link routes inside it through a hash route rather than a server-rendered page load. Above the page level the site carries three discovery surfaces: the Recent tab lists pages the maintenance rotation has most recently touched; the ⌘K palette indexes case names, topic names, doctrine families, and lecture titles; and the four-family Topics grid plus the Cases area filter rail give the student a doctrine-first or area-first entry when the case name is not yet known.</w:t>
      </w:r>
      <w:r>
        <w:rPr>
          <w:rStyle w:val="FootnoteReference"/>
        </w:rPr>
        <w:footnoteReference w:id="47"/>
      </w:r>
      <w:r>
        <w:t xml:space="preserve"> </w:t>
      </w:r>
      <w:r>
        <w:t xml:space="preserve">A reader who knows the doctrine, the case, or only the area can each start from the right surface and walk down to the page.</w:t>
      </w:r>
    </w:p>
    <w:bookmarkEnd w:id="48"/>
    <w:bookmarkStart w:id="53" w:name="X3d818dfa6140d672130e9d50ff1fa7051ef6347"/>
    <w:p>
      <w:pPr>
        <w:pStyle w:val="Heading2"/>
      </w:pPr>
      <w:r>
        <w:t xml:space="preserve">B. Doctrine first: the Topic page walkthrough</w:t>
      </w:r>
    </w:p>
    <w:p>
      <w:pPr>
        <w:pStyle w:val="FirstParagraph"/>
      </w:pPr>
      <w:r>
        <w:t xml:space="preserve">A student who starts from doctrine opens the Topics index and lands on a four-family grid keyed to the doctrine_family enum Section V documents: Federalism, Separation of Powers, Individual Rights, and Justiciability (Figure 3.2).</w:t>
      </w:r>
      <w:r>
        <w:rPr>
          <w:rStyle w:val="FootnoteReference"/>
        </w:rPr>
        <w:footnoteReference w:id="49"/>
      </w:r>
      <w:r>
        <w:rPr>
          <w:rStyle w:val="FootnoteReference"/>
        </w:rPr>
        <w:footnoteReference w:id="50"/>
      </w:r>
      <w:r>
        <w:t xml:space="preserve"> </w:t>
      </w:r>
      <w:r>
        <w:t xml:space="preserve">Each family heading holds its constituent Topic pages as cards; clicking Federalism brings up the Commerce Clause card alongside Enumerated Powers, Necessary and Proper Clause, and the rest. Doctrine-first entry is the affordance the casebook table of contents does not give and the lecture-slide export does not give either; the deployed site presents the doctrines as a navigable space with their own destination pages.</w:t>
      </w:r>
    </w:p>
    <w:p>
      <w:pPr>
        <w:pStyle w:val="BodyText"/>
      </w:pPr>
      <w:r>
        <w:t xml:space="preserve">The Commerce Clause Topic page renders Professor Chandler’s synthesis of the doctrine, recorded through the reviewed pipeline Section V documents, as a single page (Figure 3.3).</w:t>
      </w:r>
      <w:r>
        <w:rPr>
          <w:rStyle w:val="FootnoteReference"/>
        </w:rPr>
        <w:footnoteReference w:id="51"/>
      </w:r>
      <w:r>
        <w:rPr>
          <w:rStyle w:val="FootnoteReference"/>
        </w:rPr>
        <w:footnoteReference w:id="52"/>
      </w:r>
      <w:r>
        <w:t xml:space="preserve"> </w:t>
      </w:r>
      <w:r>
        <w:t xml:space="preserve">An Overview names the constitutional text and the three structuring questions: what counts as commerce, what counts as among the states, and what regulation means. A Governing Rule block states each test as exam-ready prose with the controlling case attached inline, from</w:t>
      </w:r>
      <w:r>
        <w:t xml:space="preserve"> </w:t>
      </w:r>
      <w:r>
        <w:rPr>
          <w:i/>
          <w:iCs/>
        </w:rPr>
        <w:t xml:space="preserve">Gibbons</w:t>
      </w:r>
      <w:r>
        <w:t xml:space="preserve"> </w:t>
      </w:r>
      <w:r>
        <w:t xml:space="preserve">through</w:t>
      </w:r>
      <w:r>
        <w:t xml:space="preserve"> </w:t>
      </w:r>
      <w:r>
        <w:rPr>
          <w:i/>
          <w:iCs/>
        </w:rPr>
        <w:t xml:space="preserve">Jones &amp; Laughlin Steel</w:t>
      </w:r>
      <w:r>
        <w:t xml:space="preserve"> </w:t>
      </w:r>
      <w:r>
        <w:t xml:space="preserve">and</w:t>
      </w:r>
      <w:r>
        <w:t xml:space="preserve"> </w:t>
      </w:r>
      <w:r>
        <w:rPr>
          <w:i/>
          <w:iCs/>
        </w:rPr>
        <w:t xml:space="preserve">Wickard</w:t>
      </w:r>
      <w:r>
        <w:t xml:space="preserve"> </w:t>
      </w:r>
      <w:r>
        <w:t xml:space="preserve">through</w:t>
      </w:r>
      <w:r>
        <w:t xml:space="preserve"> </w:t>
      </w:r>
      <w:r>
        <w:rPr>
          <w:i/>
          <w:iCs/>
        </w:rPr>
        <w:t xml:space="preserve">Lopez</w:t>
      </w:r>
      <w:r>
        <w:t xml:space="preserve">,</w:t>
      </w:r>
      <w:r>
        <w:t xml:space="preserve"> </w:t>
      </w:r>
      <w:r>
        <w:rPr>
          <w:i/>
          <w:iCs/>
        </w:rPr>
        <w:t xml:space="preserve">Raich</w:t>
      </w:r>
      <w:r>
        <w:t xml:space="preserve">, and</w:t>
      </w:r>
      <w:r>
        <w:t xml:space="preserve"> </w:t>
      </w:r>
      <w:r>
        <w:rPr>
          <w:i/>
          <w:iCs/>
        </w:rPr>
        <w:t xml:space="preserve">NFIB</w:t>
      </w:r>
      <w:r>
        <w:t xml:space="preserve">. A Doctrinal Development section walks the arc in analytical order with wiki-link back-references at each case introduction; a Key Cases table links to thirteen briefs and lectures; a five-by-six comparison matrix isolates the</w:t>
      </w:r>
      <w:r>
        <w:t xml:space="preserve"> </w:t>
      </w:r>
      <w:r>
        <w:rPr>
          <w:i/>
          <w:iCs/>
        </w:rPr>
        <w:t xml:space="preserve">Wickard</w:t>
      </w:r>
      <w:r>
        <w:t xml:space="preserve">-through-</w:t>
      </w:r>
      <w:r>
        <w:rPr>
          <w:i/>
          <w:iCs/>
        </w:rPr>
        <w:t xml:space="preserve">NFIB</w:t>
      </w:r>
      <w:r>
        <w:t xml:space="preserve"> </w:t>
      </w:r>
      <w:r>
        <w:t xml:space="preserve">modern limit cases; a Hypothetical Applications block and a How-to-Spot-on-an-Exam framework close the doctrinal scaffolding; and a four-paragraph Critique surveys the progressive, originalist, institutional, and synthesis readings. Every test is attributed, every case in the arc is linkable, every paragraph is exam-relevant. The Overview, Governing Rule block, and Key Cases table are the minimum surfaces that establish Topic-page utility; the comparison matrix, Hypothetical Applications block, How-to-Spot framework, and four-paragraph Critique are extensions the maintenance rotation builds out over multiple iterations as Section VII describes.</w:t>
      </w:r>
    </w:p>
    <w:bookmarkEnd w:id="53"/>
    <w:bookmarkStart w:id="59" w:name="c.-from-doctrine-to-case-to-lecture"/>
    <w:p>
      <w:pPr>
        <w:pStyle w:val="Heading2"/>
      </w:pPr>
      <w:r>
        <w:t xml:space="preserve">C. From doctrine to case to lecture</w:t>
      </w:r>
    </w:p>
    <w:p>
      <w:pPr>
        <w:pStyle w:val="FirstParagraph"/>
      </w:pPr>
      <w:r>
        <w:t xml:space="preserve">A student following the Commerce Clause arc clicks the</w:t>
      </w:r>
      <w:r>
        <w:t xml:space="preserve"> </w:t>
      </w:r>
      <w:r>
        <w:rPr>
          <w:i/>
          <w:iCs/>
        </w:rPr>
        <w:t xml:space="preserve">Marbury v. Madison</w:t>
      </w:r>
      <w:r>
        <w:t xml:space="preserve"> </w:t>
      </w:r>
      <w:r>
        <w:t xml:space="preserve">(1803) wiki-link from a Topic page and lands on the populated Case brief (Figure 3.4).</w:t>
      </w:r>
      <w:r>
        <w:rPr>
          <w:rStyle w:val="FootnoteReference"/>
        </w:rPr>
        <w:footnoteReference w:id="54"/>
      </w:r>
      <w:r>
        <w:rPr>
          <w:rStyle w:val="FootnoteReference"/>
        </w:rPr>
        <w:footnoteReference w:id="55"/>
      </w:r>
      <w:r>
        <w:t xml:space="preserve"> </w:t>
      </w:r>
      <w:r>
        <w:t xml:space="preserve">The page carries the nine-section case-briefer standard Section V documents: Memory Jogger, Facts, Procedural History, Judicial Votes, Holding, Analysis, Hypothetical Applications, Critique, and Key Quotations. Above the prose the deployed shell renders a structured holding bar from the frontmatter, with the citation, court, doctrine_family, midpage_id, and an applied_in chain naming six downstream cases including</w:t>
      </w:r>
      <w:r>
        <w:t xml:space="preserve"> </w:t>
      </w:r>
      <w:r>
        <w:rPr>
          <w:i/>
          <w:iCs/>
        </w:rPr>
        <w:t xml:space="preserve">Martin v. Hunter’s Lessee</w:t>
      </w:r>
      <w:r>
        <w:t xml:space="preserve">,</w:t>
      </w:r>
      <w:r>
        <w:t xml:space="preserve"> </w:t>
      </w:r>
      <w:r>
        <w:rPr>
          <w:i/>
          <w:iCs/>
        </w:rPr>
        <w:t xml:space="preserve">McCulloch</w:t>
      </w:r>
      <w:r>
        <w:t xml:space="preserve">,</w:t>
      </w:r>
      <w:r>
        <w:t xml:space="preserve"> </w:t>
      </w:r>
      <w:r>
        <w:rPr>
          <w:i/>
          <w:iCs/>
        </w:rPr>
        <w:t xml:space="preserve">The Prize Cases</w:t>
      </w:r>
      <w:r>
        <w:t xml:space="preserve">, and</w:t>
      </w:r>
      <w:r>
        <w:t xml:space="preserve"> </w:t>
      </w:r>
      <w:r>
        <w:rPr>
          <w:i/>
          <w:iCs/>
        </w:rPr>
        <w:t xml:space="preserve">City of Boerne</w:t>
      </w:r>
      <w:r>
        <w:t xml:space="preserve">. The holding bar is the visible artifact of the frontmatter schema; the nine-section body is the artifact of the case-briefer template. The structure shows up at the surface a student reads, not only in the YAML the build script parses.</w:t>
      </w:r>
    </w:p>
    <w:p>
      <w:pPr>
        <w:pStyle w:val="BodyText"/>
      </w:pPr>
      <w:r>
        <w:t xml:space="preserve">The third destination type is the Lecture summary. A student clicking the</w:t>
      </w:r>
      <w:r>
        <w:t xml:space="preserve"> </w:t>
      </w:r>
      <w:r>
        <w:rPr>
          <w:i/>
          <w:iCs/>
        </w:rPr>
        <w:t xml:space="preserve">Lecture: Marbury v. Madison</w:t>
      </w:r>
      <w:r>
        <w:t xml:space="preserve"> </w:t>
      </w:r>
      <w:r>
        <w:t xml:space="preserve">wiki-link from the</w:t>
      </w:r>
      <w:r>
        <w:t xml:space="preserve"> </w:t>
      </w:r>
      <w:r>
        <w:rPr>
          <w:i/>
          <w:iCs/>
        </w:rPr>
        <w:t xml:space="preserve">Marbury</w:t>
      </w:r>
      <w:r>
        <w:t xml:space="preserve"> </w:t>
      </w:r>
      <w:r>
        <w:t xml:space="preserve">Connections block lands on a page whose Professor Emphasis section compresses how Professor Chandler frames the case in class: foundational and historically contingent, with Marshall’s political genius in manufacturing a confrontation he was guaranteed to win, and with the dicta on right-remedy alignment, political question doctrine, and executive privilege carrying nearly as much downstream weight as the judicial-review holding itself.</w:t>
      </w:r>
      <w:r>
        <w:rPr>
          <w:rStyle w:val="FootnoteReference"/>
        </w:rPr>
        <w:footnoteReference w:id="56"/>
      </w:r>
      <w:r>
        <w:t xml:space="preserve"> </w:t>
      </w:r>
      <w:r>
        <w:t xml:space="preserve">A Lecture Outline walks the session in the order it was delivered. The page makes the lecture layer, one of the four course-issued artifact families Section IV.A inventories, into a navigable destination alongside the Topic and Case pages. A student who missed the session can recover the professor’s framing without listening to a recording, and the recovery is structured rather than verbatim.</w:t>
      </w:r>
    </w:p>
    <w:p>
      <w:pPr>
        <w:pStyle w:val="BodyText"/>
      </w:pPr>
      <w:r>
        <w:t xml:space="preserve">Every populated page closes with a Connections block of wiki-links to every page touching the same doctrine, case family, or pedagogical thread. The</w:t>
      </w:r>
      <w:r>
        <w:t xml:space="preserve"> </w:t>
      </w:r>
      <w:r>
        <w:rPr>
          <w:i/>
          <w:iCs/>
        </w:rPr>
        <w:t xml:space="preserve">Marbury</w:t>
      </w:r>
      <w:r>
        <w:t xml:space="preserve"> </w:t>
      </w:r>
      <w:r>
        <w:t xml:space="preserve">Case brief’s block carries fifteen outbound links across four Topics, seven other Cases, and three Lectures, each rendered as a clickable badge (Figure 3.5).</w:t>
      </w:r>
      <w:r>
        <w:rPr>
          <w:rStyle w:val="FootnoteReference"/>
        </w:rPr>
        <w:footnoteReference w:id="57"/>
      </w:r>
      <w:r>
        <w:rPr>
          <w:rStyle w:val="FootnoteReference"/>
        </w:rPr>
        <w:footnoteReference w:id="58"/>
      </w:r>
      <w:r>
        <w:t xml:space="preserve"> </w:t>
      </w:r>
      <w:r>
        <w:t xml:space="preserve">The Connections block turns the three content folders into a navigable graph; the path from</w:t>
      </w:r>
      <w:r>
        <w:t xml:space="preserve"> </w:t>
      </w:r>
      <w:r>
        <w:rPr>
          <w:i/>
          <w:iCs/>
        </w:rPr>
        <w:t xml:space="preserve">Marbury</w:t>
      </w:r>
      <w:r>
        <w:t xml:space="preserve"> </w:t>
      </w:r>
      <w:r>
        <w:t xml:space="preserve">to</w:t>
      </w:r>
      <w:r>
        <w:t xml:space="preserve"> </w:t>
      </w:r>
      <w:r>
        <w:rPr>
          <w:i/>
          <w:iCs/>
        </w:rPr>
        <w:t xml:space="preserve">Martin v. Hunter’s Lessee</w:t>
      </w:r>
      <w:r>
        <w:t xml:space="preserve"> </w:t>
      </w:r>
      <w:r>
        <w:t xml:space="preserve">to</w:t>
      </w:r>
      <w:r>
        <w:t xml:space="preserve"> </w:t>
      </w:r>
      <w:r>
        <w:rPr>
          <w:i/>
          <w:iCs/>
        </w:rPr>
        <w:t xml:space="preserve">Cohens v. Virginia</w:t>
      </w:r>
      <w:r>
        <w:t xml:space="preserve"> </w:t>
      </w:r>
      <w:r>
        <w:t xml:space="preserve">traces the arc from 1803 through 1816 through 1821 without the student ever opening the Cases index.</w:t>
      </w:r>
    </w:p>
    <w:bookmarkEnd w:id="59"/>
    <w:bookmarkStart w:id="65" w:name="Xaaca844afef6a9bf580d1384691939b55a5292f"/>
    <w:p>
      <w:pPr>
        <w:pStyle w:val="Heading2"/>
      </w:pPr>
      <w:r>
        <w:t xml:space="preserve">D. Hypotheticals and Midpage-verified quotations as the exam-prep payoff</w:t>
      </w:r>
    </w:p>
    <w:p>
      <w:pPr>
        <w:pStyle w:val="FirstParagraph"/>
      </w:pPr>
      <w:r>
        <w:t xml:space="preserve">Every populated Case brief and Topic page carries a Hypothetical Applications block in a fixed three-bucket form (Figure 3.6).</w:t>
      </w:r>
      <w:r>
        <w:rPr>
          <w:rStyle w:val="FootnoteReference"/>
        </w:rPr>
        <w:footnoteReference w:id="60"/>
      </w:r>
      <w:r>
        <w:rPr>
          <w:rStyle w:val="FootnoteReference"/>
        </w:rPr>
        <w:footnoteReference w:id="61"/>
      </w:r>
      <w:r>
        <w:t xml:space="preserve"> </w:t>
      </w:r>
      <w:r>
        <w:t xml:space="preserve">Two Same-Side hypotheticals come out the way the canonical case did; two Opposite-Side hypotheticals flip on a single distinguishing fact; and one Fence-Sitter is genuinely contested under the doctrine’s current state. The Commerce Clause page’s block runs five worked examples: a compelled-retirement-product statute that fails under</w:t>
      </w:r>
      <w:r>
        <w:t xml:space="preserve"> </w:t>
      </w:r>
      <w:r>
        <w:rPr>
          <w:i/>
          <w:iCs/>
        </w:rPr>
        <w:t xml:space="preserve">NFIB</w:t>
      </w:r>
      <w:r>
        <w:t xml:space="preserve">’s activity-inactivity line; a school-zone firearm statute that fails under</w:t>
      </w:r>
      <w:r>
        <w:t xml:space="preserve"> </w:t>
      </w:r>
      <w:r>
        <w:rPr>
          <w:i/>
          <w:iCs/>
        </w:rPr>
        <w:t xml:space="preserve">Lopez</w:t>
      </w:r>
      <w:r>
        <w:t xml:space="preserve"> </w:t>
      </w:r>
      <w:r>
        <w:t xml:space="preserve">and</w:t>
      </w:r>
      <w:r>
        <w:t xml:space="preserve"> </w:t>
      </w:r>
      <w:r>
        <w:rPr>
          <w:i/>
          <w:iCs/>
        </w:rPr>
        <w:t xml:space="preserve">Morrison</w:t>
      </w:r>
      <w:r>
        <w:t xml:space="preserve">; a</w:t>
      </w:r>
      <w:r>
        <w:t xml:space="preserve"> </w:t>
      </w:r>
      <w:r>
        <w:rPr>
          <w:i/>
          <w:iCs/>
        </w:rPr>
        <w:t xml:space="preserve">Darby</w:t>
      </w:r>
      <w:r>
        <w:t xml:space="preserve">-with-jurisdictional-overlay statute that succeeds; a</w:t>
      </w:r>
      <w:r>
        <w:t xml:space="preserve"> </w:t>
      </w:r>
      <w:r>
        <w:rPr>
          <w:i/>
          <w:iCs/>
        </w:rPr>
        <w:t xml:space="preserve">Raich</w:t>
      </w:r>
      <w:r>
        <w:t xml:space="preserve">-style comprehensive-scheme application that succeeds; and a state-internal appliance-recordkeeping statute that is genuinely uncertain because two doctrinal framings are both available.</w:t>
      </w:r>
      <w:r>
        <w:rPr>
          <w:rStyle w:val="FootnoteReference"/>
        </w:rPr>
        <w:footnoteReference w:id="62"/>
      </w:r>
      <w:r>
        <w:t xml:space="preserve"> </w:t>
      </w:r>
      <w:r>
        <w:t xml:space="preserve">Each closes with a one-sentence Why naming the controlling doctrinal move. The hypotheticals are scoped to the doctrine the page is about, and the three-bucket form is the surface-level illustration of the prompting design Section VI describes.</w:t>
      </w:r>
    </w:p>
    <w:p>
      <w:pPr>
        <w:pStyle w:val="BodyText"/>
      </w:pPr>
      <w:r>
        <w:t xml:space="preserve">Every Key Quotation on every populated Case brief is followed by a Midpage line-anchor URL that resolves to the cited line of the indexed opinion.</w:t>
      </w:r>
      <w:r>
        <w:rPr>
          <w:rStyle w:val="FootnoteReference"/>
        </w:rPr>
        <w:footnoteReference w:id="63"/>
      </w:r>
      <w:r>
        <w:t xml:space="preserve"> </w:t>
      </w:r>
      <w:r>
        <w:t xml:space="preserve">The</w:t>
      </w:r>
      <w:r>
        <w:t xml:space="preserve"> </w:t>
      </w:r>
      <w:r>
        <w:rPr>
          <w:i/>
          <w:iCs/>
        </w:rPr>
        <w:t xml:space="preserve">Marbury</w:t>
      </w:r>
      <w:r>
        <w:t xml:space="preserve"> </w:t>
      </w:r>
      <w:r>
        <w:t xml:space="preserve">brief carries five linked quotations. The Commerce Clause Topic page extends the same discipline into doctrinal prose: Chief Justice Roberts’s “The power to regulate commerce presupposes the existence of commercial activity to be regulated” passage in the Governing Rule block links to the</w:t>
      </w:r>
      <w:r>
        <w:t xml:space="preserve"> </w:t>
      </w:r>
      <w:r>
        <w:rPr>
          <w:i/>
          <w:iCs/>
        </w:rPr>
        <w:t xml:space="preserve">NFIB</w:t>
      </w:r>
      <w:r>
        <w:t xml:space="preserve"> </w:t>
      </w:r>
      <w:r>
        <w:t xml:space="preserve">line.</w:t>
      </w:r>
      <w:r>
        <w:rPr>
          <w:rStyle w:val="FootnoteReference"/>
        </w:rPr>
        <w:footnoteReference w:id="64"/>
      </w:r>
      <w:r>
        <w:t xml:space="preserve"> </w:t>
      </w:r>
      <w:r>
        <w:t xml:space="preserve">A student or peer reviewer who clicks any pull-quote lands on the verified line of the source opinion without leaving the page. The Midpage line anchors are the visible discipline that Section VII’s iteration narrative produced from the</w:t>
      </w:r>
      <w:r>
        <w:t xml:space="preserve"> </w:t>
      </w:r>
      <w:r>
        <w:rPr>
          <w:i/>
          <w:iCs/>
        </w:rPr>
        <w:t xml:space="preserve">Prize Cases</w:t>
      </w:r>
      <w:r>
        <w:t xml:space="preserve"> </w:t>
      </w:r>
      <w:r>
        <w:t xml:space="preserve">failure story; the citation trail rides on the page the reader is already reading rather than on a follow-up query.</w:t>
      </w:r>
    </w:p>
    <w:bookmarkEnd w:id="65"/>
    <w:bookmarkStart w:id="67" w:name="Xbb274f20d59966988c69a7678313c28c736a8db"/>
    <w:p>
      <w:pPr>
        <w:pStyle w:val="Heading2"/>
      </w:pPr>
      <w:r>
        <w:t xml:space="preserve">E. What the experience is and what it is not</w:t>
      </w:r>
    </w:p>
    <w:p>
      <w:pPr>
        <w:pStyle w:val="FirstParagraph"/>
      </w:pPr>
      <w:r>
        <w:t xml:space="preserve">The user-experience contrast with a chatbot tutor is structural rather than rhetorical. A student using Sajja et al.’s 2023 curriculum-grounded intelligent assistant types a question into a chat surface and reads the system’s generated answer.</w:t>
      </w:r>
      <w:r>
        <w:rPr>
          <w:rStyle w:val="FootnoteReference"/>
        </w:rPr>
        <w:footnoteReference w:id="66"/>
      </w:r>
      <w:r>
        <w:t xml:space="preserve"> </w:t>
      </w:r>
      <w:r>
        <w:t xml:space="preserve">A student using the deployed Constitutional Law I vault opens an index, opens a destination page, follows wiki-links across the Topic-Case-Lecture graph, and reads prose that the maintenance rotation produced and verified. Whatever the student would have asked a chatbot, the student instead finds, by navigating to where the relevant doctrine is presented as a Topic-page synthesis, a synthesis distinct from the student’s own derivation work. The trade-off is real: a chatbot can answer a question whose wording the student already knows; the static site requires the student to find the doctrinal neighborhood first. What transfers from the chatbot-tutor literature, the broader Intelligent Tutoring Systems and Adaptive Systems and Personalisation categories Bond’s typology codes (</w:t>
      </w:r>
      <w:r>
        <w:rPr>
          <w:i/>
          <w:iCs/>
        </w:rPr>
        <w:t xml:space="preserve">see supra</w:t>
      </w:r>
      <w:r>
        <w:t xml:space="preserve"> </w:t>
      </w:r>
      <w:r>
        <w:t xml:space="preserve">Section XI note 153), is the general value of curriculum-grounded retrieval for students seeking authoritative course material, not the conversational implementation surface; the vault adopts the curriculum-grounding insight in a static-publication form. The deployed artifact does not talk, listen, or respond; the student is the actor whose verbs carry the experience. Section XII develops the architectural-choice and risk-profile sides of the contrast, including the different hallucination surfaces and the different audit affordances that the static-site posture entails. Section III walks the user-experience side first so the reader sees what the case study is before the article argues why the choice was made.</w:t>
      </w:r>
    </w:p>
    <w:bookmarkEnd w:id="67"/>
    <w:bookmarkEnd w:id="68"/>
    <w:bookmarkStart w:id="94" w:name="iv.-the-input-corpus"/>
    <w:p>
      <w:pPr>
        <w:pStyle w:val="Heading1"/>
      </w:pPr>
      <w:r>
        <w:t xml:space="preserve">IV. The Input Corpus</w:t>
      </w:r>
    </w:p>
    <w:bookmarkStart w:id="74" w:name="a.-what-the-lms-handed-us"/>
    <w:p>
      <w:pPr>
        <w:pStyle w:val="Heading2"/>
      </w:pPr>
      <w:r>
        <w:t xml:space="preserve">A. What the LMS handed us</w:t>
      </w:r>
    </w:p>
    <w:p>
      <w:pPr>
        <w:pStyle w:val="FirstParagraph"/>
      </w:pPr>
      <w:r>
        <w:t xml:space="preserve">The corpus comes from a single course taught by a single professor in a single semester: Professor Chandler’s Constitutional Law I, Spring 2026.</w:t>
      </w:r>
      <w:r>
        <w:rPr>
          <w:rStyle w:val="FootnoteReference"/>
        </w:rPr>
        <w:footnoteReference w:id="69"/>
      </w:r>
      <w:r>
        <w:t xml:space="preserve"> </w:t>
      </w:r>
      <w:r>
        <w:t xml:space="preserve">The doctrinal scope is the structural-plus-rights subset of a one-semester Con Law I sequence, not the full constitutional law curriculum. It covers judicial review, federalism, separation of powers, the Commerce Clause, executive power, justiciability, preemption, state sovereign immunity, the Reconstruction Amendments, substantive due process, equal protection, the First Amendment, and the Second Amendment. Section X takes up the generalization question beyond this one-course scope.</w:t>
      </w:r>
      <w:r>
        <w:rPr>
          <w:rStyle w:val="FootnoteReference"/>
        </w:rPr>
        <w:footnoteReference w:id="70"/>
      </w:r>
      <w:r>
        <w:t xml:space="preserve"> </w:t>
      </w:r>
      <w:r>
        <w:t xml:space="preserve">The export arrived as a flat folder of three hundred eighty-eight files, its top level holding sixty-one PowerPoint lecture decks and sixty-six PDFs of case readings and slide handouts, the one hundred twenty-seven slide-and-reading files the flat structure exposed first, alongside three DOCX files.</w:t>
      </w:r>
      <w:r>
        <w:rPr>
          <w:rStyle w:val="FootnoteReference"/>
        </w:rPr>
        <w:footnoteReference w:id="71"/>
      </w:r>
      <w:r>
        <w:t xml:space="preserve"> </w:t>
      </w:r>
      <w:r>
        <w:t xml:space="preserve">This is the raw surface the schema layer in Section V translates, and the concrete answer to Section II’s question about why an LMS folder is not yet a course knowledge system. The corpus is course-issued materials only: lecture decks, professor-prepared opinion PDFs, merged reading packets, and a small set of assessment artifacts. The professor chose which materials to upload, which opinions to merge into packets, and which to reissue as modernized PDFs, so the corpus records curation choices, not a neutral export. Students also work from an assigned casebook alongside this course-issued layer, and whether the casebook itself was ingested as input to the vault is an open question this article hedges throughout. If it was not, the curriculum grounding the method claims is incomplete on the input side, a limit Section XII takes up.</w:t>
      </w:r>
      <w:r>
        <w:rPr>
          <w:rStyle w:val="FootnoteReference"/>
        </w:rPr>
        <w:footnoteReference w:id="72"/>
      </w:r>
      <w:r>
        <w:t xml:space="preserve"> </w:t>
      </w:r>
      <w:r>
        <w:t xml:space="preserve">The published wiki on Netlify is a review-ready static website rather than a chatbot or conversational tutor, a distinction Section XII’s risk argument returns to.</w:t>
      </w:r>
      <w:r>
        <w:rPr>
          <w:rStyle w:val="FootnoteReference"/>
        </w:rPr>
        <w:footnoteReference w:id="73"/>
      </w:r>
    </w:p>
    <w:bookmarkEnd w:id="74"/>
    <w:bookmarkStart w:id="81" w:name="b.-anatomy-of-the-export"/>
    <w:p>
      <w:pPr>
        <w:pStyle w:val="Heading2"/>
      </w:pPr>
      <w:r>
        <w:t xml:space="preserve">B. Anatomy of the export</w:t>
      </w:r>
    </w:p>
    <w:p>
      <w:pPr>
        <w:pStyle w:val="FirstParagraph"/>
      </w:pPr>
      <w:r>
        <w:t xml:space="preserve">The Source Materials folder is shallow at the top, but the Uploaded Media subfolder holds the bulk of the case reading. One hundred thirty-five individual case-opinion PDFs sit in that subfolder, one decision per file, with filenames such as 02_lochner_v_new_york-1.pdf and Fulton_v_City_of_Philadelphia_Modernized.pdf.</w:t>
      </w:r>
      <w:r>
        <w:rPr>
          <w:rStyle w:val="FootnoteReference"/>
        </w:rPr>
        <w:footnoteReference w:id="75"/>
      </w:r>
      <w:r>
        <w:t xml:space="preserve"> </w:t>
      </w:r>
      <w:r>
        <w:t xml:space="preserve">Twelve merged reading packets, whose filenames begin with the merged- prefix, bundle several decisions per topic, including merged-incorporation.pdf and merged-equal-protection-limitations.pdf.</w:t>
      </w:r>
      <w:r>
        <w:rPr>
          <w:rStyle w:val="FootnoteReference"/>
        </w:rPr>
        <w:footnoteReference w:id="76"/>
      </w:r>
      <w:r>
        <w:t xml:space="preserve"> </w:t>
      </w:r>
      <w:r>
        <w:t xml:space="preserve">A separate resources subfolder contains eighty-one HTML files exported from Canvas, and an unfiled subfolder holds a single Midterm rubric.</w:t>
      </w:r>
      <w:r>
        <w:rPr>
          <w:rStyle w:val="FootnoteReference"/>
        </w:rPr>
        <w:footnoteReference w:id="77"/>
      </w:r>
      <w:r>
        <w:t xml:space="preserve"> </w:t>
      </w:r>
      <w:r>
        <w:t xml:space="preserve">The shape of the export is the shape of a course shell.</w:t>
      </w:r>
    </w:p>
    <w:p>
      <w:pPr>
        <w:pStyle w:val="BodyText"/>
      </w:pPr>
      <w:r>
        <w:t xml:space="preserve">Thirty-seven files in the export carry the modernized tag in their filenames, including mcculloch_modernized.pdf, youngstown-modernized.pdf, dobbs_modernized.pdf, bruen-modernized.pdf, and Fulton_v_City_of_Philadelphia_Modernized.pdf.</w:t>
      </w:r>
      <w:r>
        <w:rPr>
          <w:rStyle w:val="FootnoteReference"/>
        </w:rPr>
        <w:footnoteReference w:id="78"/>
      </w:r>
      <w:r>
        <w:t xml:space="preserve"> </w:t>
      </w:r>
      <w:r>
        <w:t xml:space="preserve">These are not slip opinions; they are professor-edited versions of older opinions, updated to ease the archaic phrasing for student readers.</w:t>
      </w:r>
      <w:r>
        <w:rPr>
          <w:rStyle w:val="FootnoteReference"/>
        </w:rPr>
        <w:footnoteReference w:id="79"/>
      </w:r>
      <w:r>
        <w:t xml:space="preserve"> </w:t>
      </w:r>
      <w:r>
        <w:t xml:space="preserve">Modernized PDFs are among the most pedagogically useful inputs the export contained, and among the most epistemically dangerous to ingest without verification against an indexed opinion. Section VII develops the consequence; Section IV introduces the input type.</w:t>
      </w:r>
    </w:p>
    <w:p>
      <w:pPr>
        <w:pStyle w:val="BodyText"/>
      </w:pPr>
      <w:r>
        <w:t xml:space="preserve">The export also includes three prior exam artifacts and one published grading rubric: Final Exam Constitutional Law Fall 2023.pdf, Constitutional Law Final Exam Spring 2025 (Reduced).pdf, TEFA_Exam_Question.docx.pdf, and Midterm_Rubric.pdf.</w:t>
      </w:r>
      <w:r>
        <w:rPr>
          <w:rStyle w:val="FootnoteReference"/>
        </w:rPr>
        <w:footnoteReference w:id="80"/>
      </w:r>
      <w:r>
        <w:t xml:space="preserve"> </w:t>
      </w:r>
      <w:r>
        <w:t xml:space="preserve">These files encode professorial judgment about what counts as a complete answer and which doctrinal issues the course centers. They are what later allow the vault to generate hypotheticals and exam-tip blocks within its Topic pages, and they are what keeps Section IV from being a reading-list inventory.</w:t>
      </w:r>
    </w:p>
    <w:bookmarkEnd w:id="81"/>
    <w:bookmarkStart w:id="86" w:name="c.-what-the-lms-did-not-hand-us"/>
    <w:p>
      <w:pPr>
        <w:pStyle w:val="Heading2"/>
      </w:pPr>
      <w:r>
        <w:t xml:space="preserve">C. What the LMS did not hand us</w:t>
      </w:r>
    </w:p>
    <w:p>
      <w:pPr>
        <w:pStyle w:val="FirstParagraph"/>
      </w:pPr>
      <w:r>
        <w:t xml:space="preserve">The corpus is bounded by what was uploaded to Canvas, not by what the syllabus assigned. Ten foundational opinions the syllabus references have wiki briefs but no corresponding source file on disk:</w:t>
      </w:r>
      <w:r>
        <w:t xml:space="preserve"> </w:t>
      </w:r>
      <w:r>
        <w:rPr>
          <w:i/>
          <w:iCs/>
        </w:rPr>
        <w:t xml:space="preserve">Cohens v. Virginia</w:t>
      </w:r>
      <w:r>
        <w:t xml:space="preserve">,</w:t>
      </w:r>
      <w:r>
        <w:t xml:space="preserve"> </w:t>
      </w:r>
      <w:r>
        <w:rPr>
          <w:i/>
          <w:iCs/>
        </w:rPr>
        <w:t xml:space="preserve">United States v. Cruikshank</w:t>
      </w:r>
      <w:r>
        <w:t xml:space="preserve">,</w:t>
      </w:r>
      <w:r>
        <w:t xml:space="preserve"> </w:t>
      </w:r>
      <w:r>
        <w:rPr>
          <w:i/>
          <w:iCs/>
        </w:rPr>
        <w:t xml:space="preserve">Wickard v. Filburn</w:t>
      </w:r>
      <w:r>
        <w:t xml:space="preserve">,</w:t>
      </w:r>
      <w:r>
        <w:t xml:space="preserve"> </w:t>
      </w:r>
      <w:r>
        <w:rPr>
          <w:i/>
          <w:iCs/>
        </w:rPr>
        <w:t xml:space="preserve">Adamson v. California</w:t>
      </w:r>
      <w:r>
        <w:t xml:space="preserve">,</w:t>
      </w:r>
      <w:r>
        <w:t xml:space="preserve"> </w:t>
      </w:r>
      <w:r>
        <w:rPr>
          <w:i/>
          <w:iCs/>
        </w:rPr>
        <w:t xml:space="preserve">Baker v. Carr</w:t>
      </w:r>
      <w:r>
        <w:t xml:space="preserve">,</w:t>
      </w:r>
      <w:r>
        <w:t xml:space="preserve"> </w:t>
      </w:r>
      <w:r>
        <w:rPr>
          <w:i/>
          <w:iCs/>
        </w:rPr>
        <w:t xml:space="preserve">USDA v. Moreno</w:t>
      </w:r>
      <w:r>
        <w:t xml:space="preserve">,</w:t>
      </w:r>
      <w:r>
        <w:t xml:space="preserve"> </w:t>
      </w:r>
      <w:r>
        <w:rPr>
          <w:i/>
          <w:iCs/>
        </w:rPr>
        <w:t xml:space="preserve">South Dakota v. Dole</w:t>
      </w:r>
      <w:r>
        <w:t xml:space="preserve">,</w:t>
      </w:r>
      <w:r>
        <w:t xml:space="preserve"> </w:t>
      </w:r>
      <w:r>
        <w:rPr>
          <w:i/>
          <w:iCs/>
        </w:rPr>
        <w:t xml:space="preserve">United States v. Lopez</w:t>
      </w:r>
      <w:r>
        <w:t xml:space="preserve">,</w:t>
      </w:r>
      <w:r>
        <w:t xml:space="preserve"> </w:t>
      </w:r>
      <w:r>
        <w:rPr>
          <w:i/>
          <w:iCs/>
        </w:rPr>
        <w:t xml:space="preserve">United States v. Morrison</w:t>
      </w:r>
      <w:r>
        <w:t xml:space="preserve">, and</w:t>
      </w:r>
      <w:r>
        <w:t xml:space="preserve"> </w:t>
      </w:r>
      <w:r>
        <w:rPr>
          <w:i/>
          <w:iCs/>
        </w:rPr>
        <w:t xml:space="preserve">Hamdi v. Rumsfeld</w:t>
      </w:r>
      <w:r>
        <w:t xml:space="preserve">.</w:t>
      </w:r>
      <w:r>
        <w:rPr>
          <w:rStyle w:val="FootnoteReference"/>
        </w:rPr>
        <w:footnoteReference w:id="82"/>
      </w:r>
      <w:r>
        <w:t xml:space="preserve"> </w:t>
      </w:r>
      <w:r>
        <w:t xml:space="preserve">Students presumably read these decisions in the assigned casebook rather than from a course-issued PDF. The wiki briefs themselves exist, generated against an indexed-opinion source, but the deployed site cannot offer readers a course-issued reading for these cases because no such file is on disk.</w:t>
      </w:r>
      <w:r>
        <w:rPr>
          <w:rStyle w:val="FootnoteReference"/>
        </w:rPr>
        <w:footnoteReference w:id="83"/>
      </w:r>
      <w:r>
        <w:t xml:space="preserve"> </w:t>
      </w:r>
      <w:r>
        <w:t xml:space="preserve">Section II uses this gap to motivate why ordinary LMS infrastructure is incomplete by itself.</w:t>
      </w:r>
    </w:p>
    <w:p>
      <w:pPr>
        <w:pStyle w:val="BodyText"/>
      </w:pPr>
      <w:r>
        <w:t xml:space="preserve">The corpus is the professor’s own course materials. The author’s understanding, subject to Professor Chandler’s confirmation, is that no casebook excerpts were ingested as input to the vault; the course files described above were authored or assembled by Professor Chandler rather than drawn from an assigned casebook.</w:t>
      </w:r>
      <w:r>
        <w:rPr>
          <w:rStyle w:val="FootnoteReference"/>
        </w:rPr>
        <w:footnoteReference w:id="84"/>
      </w:r>
      <w:r>
        <w:t xml:space="preserve"> </w:t>
      </w:r>
      <w:r>
        <w:t xml:space="preserve">On the same understanding, no student assessment or submitted work was ingested as input; the only third-party-authored content in the corpus is review-session materials prepared by teaching assistants, which are teaching aids rather than student work, and which the privacy and authorship discussion in Section XII addresses on that narrower footing.</w:t>
      </w:r>
      <w:r>
        <w:rPr>
          <w:rStyle w:val="FootnoteReference"/>
        </w:rPr>
        <w:footnoteReference w:id="85"/>
      </w:r>
    </w:p>
    <w:bookmarkEnd w:id="86"/>
    <w:bookmarkStart w:id="88" w:name="d.-filename-hygiene-as-a-signal"/>
    <w:p>
      <w:pPr>
        <w:pStyle w:val="Heading2"/>
      </w:pPr>
      <w:r>
        <w:t xml:space="preserve">D. Filename hygiene as a signal</w:t>
      </w:r>
    </w:p>
    <w:p>
      <w:pPr>
        <w:pStyle w:val="FirstParagraph"/>
      </w:pPr>
      <w:r>
        <w:t xml:space="preserve">The Canvas export does not enforce a filename convention. Within the same flat top-level folder, the same kind of artifact, a lecture slide deck, appears under many shapes: 11th Amendment.pptx, Architecture_of_Exclusion.pptx, Biden_v_Nebraska_Standing.pptx, Enumerated Powers- Warren Court and Beyond (2026).pptx, Federalist Papers 2025.pptx, and Gibbons v. Ogden.pptx.</w:t>
      </w:r>
      <w:r>
        <w:rPr>
          <w:rStyle w:val="FootnoteReference"/>
        </w:rPr>
        <w:footnoteReference w:id="87"/>
      </w:r>
      <w:r>
        <w:t xml:space="preserve"> </w:t>
      </w:r>
      <w:r>
        <w:t xml:space="preserve">Hyphens, underscores, spaces, parenthetical years, and dotted abbreviations appear in arbitrary combinations within one folder. Some filenames encode topic, some encode case name, some encode year, and no rule predicts which. The point is not that filename hygiene is poor; the point is that filename-level organization renders the professor’s already-prepared materials inconsistently machine-readable, a gap the structured note layer described in Section V addresses without further filename cleanup.</w:t>
      </w:r>
    </w:p>
    <w:bookmarkEnd w:id="88"/>
    <w:bookmarkStart w:id="93" w:name="e.-snapshot-and-disclosure"/>
    <w:p>
      <w:pPr>
        <w:pStyle w:val="Heading2"/>
      </w:pPr>
      <w:r>
        <w:t xml:space="preserve">E. Snapshot and disclosure</w:t>
      </w:r>
    </w:p>
    <w:p>
      <w:pPr>
        <w:pStyle w:val="FirstParagraph"/>
      </w:pPr>
      <w:r>
        <w:t xml:space="preserve">The article snapshots the input-to-output state at the date of the professor-facing progress report, which records one hundred ninety-eight wiki pages comprising ninety-two case briefs, twenty-seven doctrinal topic pages, and seventy-nine lecture summaries.</w:t>
      </w:r>
      <w:r>
        <w:rPr>
          <w:rStyle w:val="FootnoteReference"/>
        </w:rPr>
        <w:footnoteReference w:id="89"/>
      </w:r>
      <w:r>
        <w:t xml:space="preserve"> </w:t>
      </w:r>
      <w:r>
        <w:t xml:space="preserve">Anchoring Sections III and IV to one disclosed date keeps peer reviewers from finding inconsistent counts across audits. The corpus and the wiki keep growing; a filesystem audit on May 15, 2026, records two hundred eighty-one wiki pages against the progress report’s one hundred ninety-eight, and this article will footnote the drift if publication follows further ingestion.</w:t>
      </w:r>
      <w:r>
        <w:rPr>
          <w:rStyle w:val="FootnoteReference"/>
        </w:rPr>
        <w:footnoteReference w:id="90"/>
      </w:r>
      <w:r>
        <w:t xml:space="preserve"> </w:t>
      </w:r>
      <w:r>
        <w:t xml:space="preserve">The ingest-phase line of the full cost-and-labor accounting will close through the master cost table to be assembled at Section IX; this section forward-references that line rather than reproducing it.</w:t>
      </w:r>
      <w:r>
        <w:rPr>
          <w:rStyle w:val="FootnoteReference"/>
        </w:rPr>
        <w:footnoteReference w:id="91"/>
      </w:r>
      <w:r>
        <w:t xml:space="preserve"> </w:t>
      </w:r>
      <w:r>
        <w:t xml:space="preserve">The article applies the vault’s own snapshot discipline to itself, citing one disclosed date rather than a moving target; final sign-off on the snapshot-date selection awaits professorial review.</w:t>
      </w:r>
      <w:r>
        <w:rPr>
          <w:rStyle w:val="FootnoteReference"/>
        </w:rPr>
        <w:footnoteReference w:id="92"/>
      </w:r>
      <w:r>
        <w:t xml:space="preserve"> </w:t>
      </w:r>
      <w:r>
        <w:t xml:space="preserve">Access to the corpus, the site, and the modernized PDFs presupposes broadband, a capable device, and the enrollment that gates the LMS, assumptions Section XII names. The structured note layer that Section V describes is what turns that snapshot into a navigable form.</w:t>
      </w:r>
    </w:p>
    <w:bookmarkEnd w:id="93"/>
    <w:bookmarkEnd w:id="94"/>
    <w:bookmarkStart w:id="119" w:name="v.-building-the-obsidian-vault"/>
    <w:p>
      <w:pPr>
        <w:pStyle w:val="Heading1"/>
      </w:pPr>
      <w:r>
        <w:t xml:space="preserve">V. Building the Obsidian Vault</w:t>
      </w:r>
    </w:p>
    <w:bookmarkStart w:id="97" w:name="a.-from-flat-folder-to-typed-schema"/>
    <w:p>
      <w:pPr>
        <w:pStyle w:val="Heading2"/>
      </w:pPr>
      <w:r>
        <w:t xml:space="preserve">A. From flat folder to typed schema</w:t>
      </w:r>
    </w:p>
    <w:p>
      <w:pPr>
        <w:pStyle w:val="FirstParagraph"/>
      </w:pPr>
      <w:r>
        <w:t xml:space="preserve">The vault organizes its content into three primary folders: Cases, Topics, and Lectures.</w:t>
      </w:r>
      <w:r>
        <w:rPr>
          <w:rStyle w:val="FootnoteReference"/>
        </w:rPr>
        <w:footnoteReference w:id="95"/>
      </w:r>
      <w:r>
        <w:t xml:space="preserve"> </w:t>
      </w:r>
      <w:r>
        <w:t xml:space="preserve">Each folder is backed by a canonical template in Templates and a per-page YAML frontmatter schema. The three content folders correspond to three distinct units of legal-pedagogy work: a decided case, a doctrine, and a class session captured as a post-hoc lecture summary rather than a transcript of the live Socratic exchange. That typing lets the vault behave as a schema, not a folder of prose. Section IV described the input side, a flat export of three hundred eighty-eight files; Section V describes the layer that translates it into a typed intermediate, which Section VIII’s build script converts into a website.</w:t>
      </w:r>
    </w:p>
    <w:p>
      <w:pPr>
        <w:pStyle w:val="BodyText"/>
      </w:pPr>
      <w:r>
        <w:t xml:space="preserve">The smallest structural commitment is a three-way invariant. Within Cases, the filename, the H1, and the frontmatter case_name field all agree, with no periods, and with the word and rather than an ampersand; the same rule binds Topics and Lectures.</w:t>
      </w:r>
      <w:r>
        <w:rPr>
          <w:rStyle w:val="FootnoteReference"/>
        </w:rPr>
        <w:footnoteReference w:id="96"/>
      </w:r>
      <w:r>
        <w:t xml:space="preserve"> </w:t>
      </w:r>
      <w:r>
        <w:t xml:space="preserve">Wiki-links therefore resolve by exact filename match rather than through normalization heuristics, so the build script in Section VIII can link pages by name without guessing.</w:t>
      </w:r>
    </w:p>
    <w:bookmarkEnd w:id="97"/>
    <w:bookmarkStart w:id="103" w:name="Xfab8bd496b3367559e63a424972037e8103a415"/>
    <w:p>
      <w:pPr>
        <w:pStyle w:val="Heading2"/>
      </w:pPr>
      <w:r>
        <w:t xml:space="preserve">B. The Case Brief as the canonical page type</w:t>
      </w:r>
    </w:p>
    <w:p>
      <w:pPr>
        <w:pStyle w:val="FirstParagraph"/>
      </w:pPr>
      <w:r>
        <w:t xml:space="preserve">Every page in Cases opens with a roughly thirty-field YAML frontmatter block before the H1 (Figure 5.1).</w:t>
      </w:r>
      <w:r>
        <w:rPr>
          <w:rStyle w:val="FootnoteReference"/>
        </w:rPr>
        <w:footnoteReference w:id="98"/>
      </w:r>
      <w:r>
        <w:rPr>
          <w:rStyle w:val="FootnoteReference"/>
        </w:rPr>
        <w:footnoteReference w:id="99"/>
      </w:r>
      <w:r>
        <w:t xml:space="preserve"> </w:t>
      </w:r>
      <w:r>
        <w:t xml:space="preserve">The fields cover doctrinal labels, citation metadata, authority lineage, and Midpage verification anchors. They also include a structured holding-bar block (issue, holding, reasoning, doctrine_family) that the deployed site promotes into a banner above the prose. The frontmatter is the load-bearing surface for Section VII’s iteration loop because the loop operates on typed fields rather than re-parsing prose.</w:t>
      </w:r>
    </w:p>
    <w:p>
      <w:pPr>
        <w:pStyle w:val="BodyText"/>
      </w:pPr>
      <w:r>
        <w:t xml:space="preserve">Every Cases page also follows a fixed H2 sequence inherited from the Case Brief template: Memory Jogger, Facts, Procedural History, Judicial Votes, Holding, Analysis (with a required Majority subsection and optional Concurrence and Dissent subsections), Hypothetical Applications (split into Same-Side, Opposite-Side, and Fence-Sitter buckets totaling five hypotheticals), Critique, Key Quotations, Key Points, Connections, and Sources.</w:t>
      </w:r>
      <w:r>
        <w:rPr>
          <w:rStyle w:val="FootnoteReference"/>
        </w:rPr>
        <w:footnoteReference w:id="100"/>
      </w:r>
      <w:r>
        <w:t xml:space="preserve"> </w:t>
      </w:r>
      <w:r>
        <w:t xml:space="preserve">The Hypothetical Applications block is the pedagogically distinctive piece. Section VI’s prompting design uses the block to draft exam-style hypotheticals on a known structural shape rather than free-form text, and the professor reviews each draft before it reaches a page, consistent with the reviewed pipeline of Section IV.A. The Critique block’s requirement of both progressive and originalist or textualist perspectives keeps Section VI from looking like content generation alone.</w:t>
      </w:r>
    </w:p>
    <w:p>
      <w:pPr>
        <w:pStyle w:val="BodyText"/>
      </w:pPr>
      <w:r>
        <w:t xml:space="preserve">A populated brief shows what the schema produces once Enrich has filled the Ingest-time blanks. The</w:t>
      </w:r>
      <w:r>
        <w:t xml:space="preserve"> </w:t>
      </w:r>
      <w:r>
        <w:rPr>
          <w:i/>
          <w:iCs/>
        </w:rPr>
        <w:t xml:space="preserve">Marbury v. Madison</w:t>
      </w:r>
      <w:r>
        <w:t xml:space="preserve"> </w:t>
      </w:r>
      <w:r>
        <w:t xml:space="preserve">(1803) brief carries midpage_id 84759, a canonical Midpage URL, and cited_by 3,995 pulled from CourtListener. Its applied_in list names six downstream Supreme Court cases (</w:t>
      </w:r>
      <w:r>
        <w:rPr>
          <w:i/>
          <w:iCs/>
        </w:rPr>
        <w:t xml:space="preserve">Martin v. Hunter’s Lessee</w:t>
      </w:r>
      <w:r>
        <w:t xml:space="preserve">,</w:t>
      </w:r>
      <w:r>
        <w:t xml:space="preserve"> </w:t>
      </w:r>
      <w:r>
        <w:rPr>
          <w:i/>
          <w:iCs/>
        </w:rPr>
        <w:t xml:space="preserve">McCulloch v. Maryland</w:t>
      </w:r>
      <w:r>
        <w:t xml:space="preserve">,</w:t>
      </w:r>
      <w:r>
        <w:t xml:space="preserve"> </w:t>
      </w:r>
      <w:r>
        <w:rPr>
          <w:i/>
          <w:iCs/>
        </w:rPr>
        <w:t xml:space="preserve">The Prize Cases</w:t>
      </w:r>
      <w:r>
        <w:t xml:space="preserve">,</w:t>
      </w:r>
      <w:r>
        <w:t xml:space="preserve"> </w:t>
      </w:r>
      <w:r>
        <w:rPr>
          <w:i/>
          <w:iCs/>
        </w:rPr>
        <w:t xml:space="preserve">United States v. Rahimi</w:t>
      </w:r>
      <w:r>
        <w:t xml:space="preserve">,</w:t>
      </w:r>
      <w:r>
        <w:t xml:space="preserve"> </w:t>
      </w:r>
      <w:r>
        <w:rPr>
          <w:i/>
          <w:iCs/>
        </w:rPr>
        <w:t xml:space="preserve">Cohens v. Virginia</w:t>
      </w:r>
      <w:r>
        <w:t xml:space="preserve">, and</w:t>
      </w:r>
      <w:r>
        <w:t xml:space="preserve"> </w:t>
      </w:r>
      <w:r>
        <w:rPr>
          <w:i/>
          <w:iCs/>
        </w:rPr>
        <w:t xml:space="preserve">City of Boerne v. Flores</w:t>
      </w:r>
      <w:r>
        <w:t xml:space="preserve">). The doctrine_family field is locked to Separation of Powers, and the holding-bar block is fully populated.</w:t>
      </w:r>
      <w:r>
        <w:rPr>
          <w:rStyle w:val="FootnoteReference"/>
        </w:rPr>
        <w:footnoteReference w:id="101"/>
      </w:r>
      <w:r>
        <w:t xml:space="preserve"> </w:t>
      </w:r>
      <w:r>
        <w:t xml:space="preserve">The build script renders the holding bar, citation count, and authority lineage directly off these typed fields, which is the payoff Section VIII later realizes as a navigable site.</w:t>
      </w:r>
      <w:r>
        <w:rPr>
          <w:rStyle w:val="FootnoteReference"/>
        </w:rPr>
        <w:footnoteReference w:id="102"/>
      </w:r>
    </w:p>
    <w:bookmarkEnd w:id="103"/>
    <w:bookmarkStart w:id="109" w:name="c.-topic-pages-as-the-synthesis-layer"/>
    <w:p>
      <w:pPr>
        <w:pStyle w:val="Heading2"/>
      </w:pPr>
      <w:r>
        <w:t xml:space="preserve">C. Topic pages as the synthesis layer</w:t>
      </w:r>
    </w:p>
    <w:p>
      <w:pPr>
        <w:pStyle w:val="FirstParagraph"/>
      </w:pPr>
      <w:r>
        <w:t xml:space="preserve">The Topic page is the synthesis form, the layer at which the vault stops being a folder of briefs and starts being a knowledge system. The professor decides which Case briefs and Lecture summaries belong on a Topic page; that membership is a curation choice recorded in the page’s source_files frontmatter list, not an automated similarity computation. Once the selection is made, the schema enforces the structure: an Overview, a Governing Rule block stating the test in exam-ready language, a Doctrinal Development section walking the cases in analytical order, a Key Cases table, five Hypothetical Applications, an exam-spotting framework, and a Critique.</w:t>
      </w:r>
      <w:r>
        <w:rPr>
          <w:rStyle w:val="FootnoteReference"/>
        </w:rPr>
        <w:footnoteReference w:id="104"/>
      </w:r>
      <w:r>
        <w:t xml:space="preserve"> </w:t>
      </w:r>
      <w:r>
        <w:t xml:space="preserve">Section VI describes the prompting design that supports the curation. The synthesis form transfers to any case-and-doctrine course, the architectural lever Section X’s generalization argument pivots on, though Section X.D bounds that reach to courses organized around tagged doctrines and leading cases.</w:t>
      </w:r>
    </w:p>
    <w:p>
      <w:pPr>
        <w:pStyle w:val="BodyText"/>
      </w:pPr>
      <w:r>
        <w:t xml:space="preserve">The Judicial Review topic is the canonical example. Its frontmatter key_cases list cites</w:t>
      </w:r>
      <w:r>
        <w:t xml:space="preserve"> </w:t>
      </w:r>
      <w:r>
        <w:rPr>
          <w:i/>
          <w:iCs/>
        </w:rPr>
        <w:t xml:space="preserve">Marbury</w:t>
      </w:r>
      <w:r>
        <w:t xml:space="preserve"> </w:t>
      </w:r>
      <w:r>
        <w:t xml:space="preserve">(1803),</w:t>
      </w:r>
      <w:r>
        <w:t xml:space="preserve"> </w:t>
      </w:r>
      <w:r>
        <w:rPr>
          <w:i/>
          <w:iCs/>
        </w:rPr>
        <w:t xml:space="preserve">Martin v. Hunter’s Lessee</w:t>
      </w:r>
      <w:r>
        <w:t xml:space="preserve"> </w:t>
      </w:r>
      <w:r>
        <w:t xml:space="preserve">(1816),</w:t>
      </w:r>
      <w:r>
        <w:t xml:space="preserve"> </w:t>
      </w:r>
      <w:r>
        <w:rPr>
          <w:i/>
          <w:iCs/>
        </w:rPr>
        <w:t xml:space="preserve">The Prize Cases</w:t>
      </w:r>
      <w:r>
        <w:t xml:space="preserve"> </w:t>
      </w:r>
      <w:r>
        <w:t xml:space="preserve">(1863), and</w:t>
      </w:r>
      <w:r>
        <w:t xml:space="preserve"> </w:t>
      </w:r>
      <w:r>
        <w:rPr>
          <w:i/>
          <w:iCs/>
        </w:rPr>
        <w:t xml:space="preserve">Youngstown</w:t>
      </w:r>
      <w:r>
        <w:t xml:space="preserve"> </w:t>
      </w:r>
      <w:r>
        <w:t xml:space="preserve">(1952); its source_files attribution lists three Cases pages and two Lectures pages directly consulted; the prose stitches them with case back-links at every introduction.</w:t>
      </w:r>
      <w:r>
        <w:rPr>
          <w:rStyle w:val="FootnoteReference"/>
        </w:rPr>
        <w:footnoteReference w:id="105"/>
      </w:r>
      <w:r>
        <w:t xml:space="preserve"> </w:t>
      </w:r>
      <w:r>
        <w:t xml:space="preserve">The provenance trail runs from prose back to source, and that chain is the architectural contrast Section XII later draws between the case study and chatbot-tutor systems.</w:t>
      </w:r>
    </w:p>
    <w:p>
      <w:pPr>
        <w:pStyle w:val="BodyText"/>
      </w:pPr>
      <w:r>
        <w:t xml:space="preserve">The wiki-link grammar supporting the synthesis layer is small and fixed. Cross-page links take the form of bracketed folder, filename, and display-text tuples; tags are lowercase and hyphenated and placed at file end; every page carries a source_files frontmatter list in lockstep with a Sources footer enforced by the Lint phase.</w:t>
      </w:r>
      <w:r>
        <w:rPr>
          <w:rStyle w:val="FootnoteReference"/>
        </w:rPr>
        <w:footnoteReference w:id="106"/>
      </w:r>
      <w:r>
        <w:t xml:space="preserve"> </w:t>
      </w:r>
      <w:r>
        <w:t xml:space="preserve">The source Obsidian vault renders a graph view natively (Figure 5.2), while the deployed site runs search across pages and surfaces cross-references; the link grammar is mechanical and the provenance trail verifiable, which makes Section VIII’s self-publishing claim an architectural consequence.</w:t>
      </w:r>
      <w:r>
        <w:rPr>
          <w:rStyle w:val="FootnoteReference"/>
        </w:rPr>
        <w:footnoteReference w:id="107"/>
      </w:r>
      <w:r>
        <w:t xml:space="preserve"> </w:t>
      </w:r>
      <w:r>
        <w:t xml:space="preserve">Each page also exposes a local graph of its wiki-link neighborhood; its shape varies by node type, from a lone case to a dense doctrinal hub to a multi-doctrine review lecture (Figures 5.3 through 5.8).</w:t>
      </w:r>
      <w:r>
        <w:rPr>
          <w:rStyle w:val="FootnoteReference"/>
        </w:rPr>
        <w:footnoteReference w:id="108"/>
      </w:r>
    </w:p>
    <w:bookmarkEnd w:id="109"/>
    <w:bookmarkStart w:id="115" w:name="d.-schema-doing-work-prose-alone-cannot"/>
    <w:p>
      <w:pPr>
        <w:pStyle w:val="Heading2"/>
      </w:pPr>
      <w:r>
        <w:t xml:space="preserve">D. Schema doing work prose alone cannot</w:t>
      </w:r>
    </w:p>
    <w:p>
      <w:pPr>
        <w:pStyle w:val="FirstParagraph"/>
      </w:pPr>
      <w:r>
        <w:t xml:space="preserve">The doctrine_family field on the Case Brief template carries exactly four values: Federalism, Separation of Powers, Individual Rights, and Justiciability; the same enum binds the area and family fields on Topic Page templates.</w:t>
      </w:r>
      <w:r>
        <w:rPr>
          <w:rStyle w:val="FootnoteReference"/>
        </w:rPr>
        <w:footnoteReference w:id="110"/>
      </w:r>
      <w:r>
        <w:t xml:space="preserve"> </w:t>
      </w:r>
      <w:r>
        <w:t xml:space="preserve">The build script reads this one field to drive which color column a case or topic appears under in the four-family grid and to set the holding-bar accent on case pages, the smallest unit of schema doing work prose alone could not do.</w:t>
      </w:r>
      <w:r>
        <w:rPr>
          <w:rStyle w:val="FootnoteReference"/>
        </w:rPr>
        <w:footnoteReference w:id="111"/>
      </w:r>
    </w:p>
    <w:p>
      <w:pPr>
        <w:pStyle w:val="BodyText"/>
      </w:pPr>
      <w:r>
        <w:t xml:space="preserve">The enum is locked. RUNBOOK requires a non-fitting page to be realigned to the nearest canonical value rather than the enum widened in place; widening is a vault-wide change requiring a template-guide edit, a RUNBOOK update, and a build-narrative note.</w:t>
      </w:r>
      <w:r>
        <w:rPr>
          <w:rStyle w:val="FootnoteReference"/>
        </w:rPr>
        <w:footnoteReference w:id="112"/>
      </w:r>
      <w:r>
        <w:t xml:space="preserve"> </w:t>
      </w:r>
      <w:r>
        <w:t xml:space="preserve">Section VII picks this up as the kind of explicit constraint that keeps an LLM-assisted system from drifting page by page.</w:t>
      </w:r>
    </w:p>
    <w:p>
      <w:pPr>
        <w:pStyle w:val="BodyText"/>
      </w:pPr>
      <w:r>
        <w:t xml:space="preserve">Published work on graph-augmented retrieval supplies the closest analogy. The Dong et al. controlled study of seventy-six students reported a large, statistically significant advantage in assessment scores for knowledge-graph-augmented retrieval over pure semantic retrieval (Cohen’s d of 0.86, p less than 0.001),</w:t>
      </w:r>
      <w:r>
        <w:rPr>
          <w:rStyle w:val="FootnoteReference"/>
        </w:rPr>
        <w:footnoteReference w:id="113"/>
      </w:r>
      <w:r>
        <w:t xml:space="preserve"> </w:t>
      </w:r>
      <w:r>
        <w:t xml:space="preserve">and the Peng et al. survey defines the canonical GraphRAG workflow as graph-based indexing, graph-guided retrieval, and graph-enhanced generation.</w:t>
      </w:r>
      <w:r>
        <w:rPr>
          <w:rStyle w:val="FootnoteReference"/>
        </w:rPr>
        <w:footnoteReference w:id="114"/>
      </w:r>
      <w:r>
        <w:t xml:space="preserve"> </w:t>
      </w:r>
      <w:r>
        <w:t xml:space="preserve">What transfers to the vault is the finding itself, the general value of structured retrieval over flat semantic similarity, not the conversational AI tutor Dong et al. built to deliver it. The vault adopts that structural insight in static-publication form: the link graph and typed frontmatter are curated by hand, and the deployed site serves that graph statically rather than retrieving over it at query time.</w:t>
      </w:r>
    </w:p>
    <w:bookmarkEnd w:id="115"/>
    <w:bookmarkStart w:id="118" w:name="X1718b0ddf95038e463d9d16daf341b0af134db3"/>
    <w:p>
      <w:pPr>
        <w:pStyle w:val="Heading2"/>
      </w:pPr>
      <w:r>
        <w:t xml:space="preserve">E. The structure is reactive, not designed top-down</w:t>
      </w:r>
    </w:p>
    <w:p>
      <w:pPr>
        <w:pStyle w:val="FirstParagraph"/>
      </w:pPr>
      <w:r>
        <w:t xml:space="preserve">The vault’s per-phase rubric architecture and tiered file loading were forced by a token-cost problem the system encountered. Early runs loaded one large rubric covering all six phases, the full LESSONS file, and the entire build narrative on every run, so a Lint run that cared only about structural formatting burned context on Enrich and Verify criteria it would never use. The fix was structural: split the rubric into six per-phase files, skip LESSONS for phases that do not need it, rotate the build narrative monthly, and log no-op phases as one-line entries.</w:t>
      </w:r>
      <w:r>
        <w:rPr>
          <w:rStyle w:val="FootnoteReference"/>
        </w:rPr>
        <w:footnoteReference w:id="116"/>
      </w:r>
    </w:p>
    <w:p>
      <w:pPr>
        <w:pStyle w:val="BodyText"/>
      </w:pPr>
      <w:r>
        <w:t xml:space="preserve">The area-enum realignment policy is the schema-side companion. The Judicial Review topic was initially assigned an area value of</w:t>
      </w:r>
      <w:r>
        <w:t xml:space="preserve"> </w:t>
      </w:r>
      <w:r>
        <w:rPr>
          <w:i/>
          <w:iCs/>
        </w:rPr>
        <w:t xml:space="preserve">Federal Judicial Power</w:t>
      </w:r>
      <w:r>
        <w:t xml:space="preserve">, which is not one of the four canonical doctrine_family values; under professorial supervision the page was realigned to Separation of Powers rather than the enum widened in place, and RUNBOOK now codifies that any future drift triggers the same vault-wide process.</w:t>
      </w:r>
      <w:r>
        <w:rPr>
          <w:rStyle w:val="FootnoteReference"/>
        </w:rPr>
        <w:footnoteReference w:id="117"/>
      </w:r>
    </w:p>
    <w:p>
      <w:pPr>
        <w:pStyle w:val="BodyText"/>
      </w:pPr>
      <w:r>
        <w:t xml:space="preserve">The vault’s schema is therefore a sequence of structural commitments, each forced by a specific failure mode and preserved as a rule the next run obeys. Section VII shows how those lessons feed forward into the maintenance loop.</w:t>
      </w:r>
    </w:p>
    <w:bookmarkEnd w:id="118"/>
    <w:bookmarkEnd w:id="119"/>
    <w:bookmarkStart w:id="138" w:name="vi.-prompting-as-pedagogical-design"/>
    <w:p>
      <w:pPr>
        <w:pStyle w:val="Heading1"/>
      </w:pPr>
      <w:r>
        <w:t xml:space="preserve">VI. Prompting as Pedagogical Design</w:t>
      </w:r>
    </w:p>
    <w:bookmarkStart w:id="121" w:name="Xa04368148d90fa9e8110f7d410b4a4a5e55c795"/>
    <w:p>
      <w:pPr>
        <w:pStyle w:val="Heading2"/>
      </w:pPr>
      <w:r>
        <w:t xml:space="preserve">A. Qian’s typology and the vault as process-based prompting</w:t>
      </w:r>
    </w:p>
    <w:p>
      <w:pPr>
        <w:pStyle w:val="FirstParagraph"/>
      </w:pPr>
      <w:r>
        <w:t xml:space="preserve">Yufeng Qian’s systematic review of prompt engineering in education distinguishes technique-based strategies from process-based strategies. Technique-based strategies are single-ask patterns like role-prompting, few-shot examples, and chain-of-thought reasoning. Process-based strategies are multi-step workflows in which each prompt is one move in a longer pedagogical loop. The vault’s prompt library is process-based in Qian’s sense. No single prompt produces a finished artifact; the pedagogical work happens across the six-phase rotation of Ingest, Lint, Enrich, Expand, Synthesize, and Verify, where each phase’s prompt depends on the prior phase’s output. Qian surveys K-12 and general higher-education settings rather than legal education specifically, so the architectural insight imports while the exam-and-Bluebook discipline the vault layers on top is the article’s own contribution.</w:t>
      </w:r>
      <w:r>
        <w:rPr>
          <w:rStyle w:val="FootnoteReference"/>
        </w:rPr>
        <w:footnoteReference w:id="120"/>
      </w:r>
    </w:p>
    <w:bookmarkEnd w:id="121"/>
    <w:bookmarkStart w:id="124" w:name="b.-the-typed-schema-is-the-prompt"/>
    <w:p>
      <w:pPr>
        <w:pStyle w:val="Heading2"/>
      </w:pPr>
      <w:r>
        <w:t xml:space="preserve">B. The typed schema is the prompt</w:t>
      </w:r>
    </w:p>
    <w:p>
      <w:pPr>
        <w:pStyle w:val="FirstParagraph"/>
      </w:pPr>
      <w:r>
        <w:t xml:space="preserve">The Case Brief template is the prompt contract. Its frontmatter schema names eighteen required fields along with the holding-bar block, the citation-metadata block, and the authority-lineage block. Its body specifies nine fixed H2 sections in fixed order, from Memory Jogger through Sources, with Analysis broken out into Majority, Concurrence, and Dissent. Every Ingest and Enrich run loads this template as part of its prompt;</w:t>
      </w:r>
      <w:r>
        <w:rPr>
          <w:rStyle w:val="FootnoteReference"/>
        </w:rPr>
        <w:footnoteReference w:id="122"/>
      </w:r>
      <w:r>
        <w:t xml:space="preserve"> </w:t>
      </w:r>
      <w:r>
        <w:t xml:space="preserve">the model is asked to fill the typed scaffold rather than to write a brief about a case in whatever shape it prefers. The choice is pedagogical rather than merely structural. The nine-section sequence is the canonical law-school case-brief format. Committing the prompt to that sequence forces every generated brief to do the same analytical work a student is expected to do when briefing a case by hand. Section V described the same schema as machine-readable substrate for the generated note. Section VI reframes it as the prompt’s pedagogical commitment, since the templates specify both what an AI-authored note must contain and what the prompt producing it must require.</w:t>
      </w:r>
      <w:r>
        <w:rPr>
          <w:rStyle w:val="FootnoteReference"/>
        </w:rPr>
        <w:footnoteReference w:id="123"/>
      </w:r>
    </w:p>
    <w:bookmarkEnd w:id="124"/>
    <w:bookmarkStart w:id="130" w:name="X4342548789be5091a6091f7c0a4f4c4d9780709"/>
    <w:p>
      <w:pPr>
        <w:pStyle w:val="Heading2"/>
      </w:pPr>
      <w:r>
        <w:t xml:space="preserve">C. Prompts as pedagogical commitments: distribution, balance, depth</w:t>
      </w:r>
    </w:p>
    <w:p>
      <w:pPr>
        <w:pStyle w:val="FirstParagraph"/>
      </w:pPr>
      <w:r>
        <w:t xml:space="preserve">The Ingest prompt deliberately under-completes the case brief, filling the factual sections at full depth, writing a majority-only Analysis sketch of roughly 150 words, placing one Midpage-verified pin-cited quotation, and leaving every other section as a one-line stub marker.</w:t>
      </w:r>
      <w:r>
        <w:rPr>
          <w:rStyle w:val="FootnoteReference"/>
        </w:rPr>
        <w:footnoteReference w:id="125"/>
      </w:r>
      <w:r>
        <w:t xml:space="preserve"> </w:t>
      </w:r>
      <w:r>
        <w:t xml:space="preserve">The rubric’s</w:t>
      </w:r>
      <w:r>
        <w:t xml:space="preserve"> </w:t>
      </w:r>
      <w:r>
        <w:rPr>
          <w:i/>
          <w:iCs/>
        </w:rPr>
        <w:t xml:space="preserve">scope_discipline</w:t>
      </w:r>
      <w:r>
        <w:t xml:space="preserve"> </w:t>
      </w:r>
      <w:r>
        <w:t xml:space="preserve">criterion mechanically scores down any brief written at full nine-section depth in a single pass, because finishing the brief on the first read starves the next phase of analytical work. The pedagogy is partly in what the prompt forbids.</w:t>
      </w:r>
      <w:r>
        <w:rPr>
          <w:rStyle w:val="FootnoteReference"/>
        </w:rPr>
        <w:footnoteReference w:id="126"/>
      </w:r>
    </w:p>
    <w:p>
      <w:pPr>
        <w:pStyle w:val="BodyText"/>
      </w:pPr>
      <w:r>
        <w:t xml:space="preserve">The Enrich prompt for Hypothetical Applications requires five hypos in a fixed distribution (two same-side, two opposite-side, one fence-sitter), each carrying a fact pattern and the reasoning that applies the rule; a fact-pattern-only hypo scores zero. The distributional commitment encodes the law-school exam pedagogy of testing a rule against varying fact patterns at the prompt level.</w:t>
      </w:r>
      <w:r>
        <w:rPr>
          <w:rStyle w:val="FootnoteReference"/>
        </w:rPr>
        <w:footnoteReference w:id="127"/>
      </w:r>
    </w:p>
    <w:p>
      <w:pPr>
        <w:pStyle w:val="BodyText"/>
      </w:pPr>
      <w:r>
        <w:t xml:space="preserve">The Enrich Critique prompt requires at least one progressive angle and one originalist or textualist angle per enriched brief, with the rubric scoring 3 for one missing and 1 for both missing. The two-angle requirement prevents the prompt from collapsing into whichever interpretive frame the model would default to and encodes the field’s interpretive pluralism at the structural level.</w:t>
      </w:r>
      <w:r>
        <w:rPr>
          <w:rStyle w:val="FootnoteReference"/>
        </w:rPr>
        <w:footnoteReference w:id="128"/>
      </w:r>
    </w:p>
    <w:p>
      <w:pPr>
        <w:pStyle w:val="BodyText"/>
      </w:pPr>
      <w:r>
        <w:t xml:space="preserve">The Synthesize prompt produces a Topic page in a fixed exam-ready scaffold (Governing Rule blockquote, Doctrinal Development, Key Cases table, the five-hypothetical distribution Enrich uses, How to Spot on an Exam, Critique, Connections), with</w:t>
      </w:r>
      <w:r>
        <w:t xml:space="preserve"> </w:t>
      </w:r>
      <w:r>
        <w:rPr>
          <w:i/>
          <w:iCs/>
        </w:rPr>
        <w:t xml:space="preserve">exam_readiness</w:t>
      </w:r>
      <w:r>
        <w:t xml:space="preserve"> </w:t>
      </w:r>
      <w:r>
        <w:t xml:space="preserve">weighted at 0.22 of the run score. Case briefs answer what an opinion holds; Topic pages answer what rule the doctrine produces and how a student deploys it on an exam.</w:t>
      </w:r>
      <w:r>
        <w:rPr>
          <w:rStyle w:val="FootnoteReference"/>
        </w:rPr>
        <w:footnoteReference w:id="129"/>
      </w:r>
    </w:p>
    <w:bookmarkEnd w:id="130"/>
    <w:bookmarkStart w:id="134" w:name="X60c2f54c9349d81df484da08455dd2f9ff3259e"/>
    <w:p>
      <w:pPr>
        <w:pStyle w:val="Heading2"/>
      </w:pPr>
      <w:r>
        <w:t xml:space="preserve">D. Verification as pedagogy: Midpage discipline and adversarial reading</w:t>
      </w:r>
    </w:p>
    <w:p>
      <w:pPr>
        <w:pStyle w:val="FirstParagraph"/>
      </w:pPr>
      <w:r>
        <w:t xml:space="preserve">The Ingest and Enrich prompts both gate Key Quotations on Midpage verification, requiring confirmation against the indexed opinion rather than the paraphrased PDF the professor distributed. The</w:t>
      </w:r>
      <w:r>
        <w:t xml:space="preserve"> </w:t>
      </w:r>
      <w:r>
        <w:rPr>
          <w:i/>
          <w:iCs/>
        </w:rPr>
        <w:t xml:space="preserve">Prize Cases</w:t>
      </w:r>
      <w:r>
        <w:t xml:space="preserve"> </w:t>
      </w:r>
      <w:r>
        <w:t xml:space="preserve">failure documents what happens when the discipline lapses: a modernized PDF silently rewrote Justice Grier’s archaic phrasing, and an Ingest, a Lint, two Enrich, and an Expand pass all reproduced the rewrite because none re-checked against the indexed text; only the adversarial Verify pass returned the actual language. The prompt encodes a practitioner habit as a citation-accuracy commitment at the prompt-design level.</w:t>
      </w:r>
      <w:r>
        <w:rPr>
          <w:rStyle w:val="FootnoteReference"/>
        </w:rPr>
        <w:footnoteReference w:id="131"/>
      </w:r>
    </w:p>
    <w:p>
      <w:pPr>
        <w:pStyle w:val="BodyText"/>
      </w:pPr>
      <w:r>
        <w:t xml:space="preserve">The Verify prompt instantiates three adversarial personas (Staleness Auditor, Contradiction Hunter, Template Enforcer) with a three-row lead-rotation table and a four-row per-persona focus-mutation table, both keyed off the Verify run count.</w:t>
      </w:r>
      <w:r>
        <w:rPr>
          <w:rStyle w:val="FootnoteReference"/>
        </w:rPr>
        <w:footnoteReference w:id="132"/>
      </w:r>
      <w:r>
        <w:t xml:space="preserve"> </w:t>
      </w:r>
      <w:r>
        <w:t xml:space="preserve">Each persona must return at least one finding per run; a persona that finds nothing records</w:t>
      </w:r>
      <w:r>
        <w:t xml:space="preserve"> </w:t>
      </w:r>
      <w:r>
        <w:rPr>
          <w:i/>
          <w:iCs/>
        </w:rPr>
        <w:t xml:space="preserve">persona-produced-nothing</w:t>
      </w:r>
      <w:r>
        <w:t xml:space="preserve"> </w:t>
      </w:r>
      <w:r>
        <w:t xml:space="preserve">as its own finding. The Verify prompt implements adversarial reading at the prompt level rather than as an external review process. The architecture mirrors moot-court and law-review pedagogy, where work meets readers with different reading commitments rather than a single generic reader.</w:t>
      </w:r>
      <w:r>
        <w:rPr>
          <w:rStyle w:val="FootnoteReference"/>
        </w:rPr>
        <w:footnoteReference w:id="133"/>
      </w:r>
    </w:p>
    <w:bookmarkEnd w:id="134"/>
    <w:bookmarkStart w:id="137" w:name="X0456cfc9f1602602e44d4c33188aa94f0bc2600"/>
    <w:p>
      <w:pPr>
        <w:pStyle w:val="Heading2"/>
      </w:pPr>
      <w:r>
        <w:t xml:space="preserve">E. Compounding prompts: stub-marker handoffs and LESSONS as iteration memory</w:t>
      </w:r>
    </w:p>
    <w:p>
      <w:pPr>
        <w:pStyle w:val="FirstParagraph"/>
      </w:pPr>
      <w:r>
        <w:t xml:space="preserve">Each Ingest skeleton carries</w:t>
      </w:r>
      <w:r>
        <w:t xml:space="preserve"> </w:t>
      </w:r>
      <w:r>
        <w:rPr>
          <w:rStyle w:val="VerbatimChar"/>
        </w:rPr>
        <w:t xml:space="preserve">&lt;!-- ENRICH: --&gt;</w:t>
      </w:r>
      <w:r>
        <w:t xml:space="preserve"> </w:t>
      </w:r>
      <w:r>
        <w:t xml:space="preserve">markers in every section it deliberately did not fill. The Ingest rubric’s</w:t>
      </w:r>
      <w:r>
        <w:t xml:space="preserve"> </w:t>
      </w:r>
      <w:r>
        <w:rPr>
          <w:i/>
          <w:iCs/>
        </w:rPr>
        <w:t xml:space="preserve">stub_markers_present</w:t>
      </w:r>
      <w:r>
        <w:t xml:space="preserve"> </w:t>
      </w:r>
      <w:r>
        <w:t xml:space="preserve">criterion scores 5 only when every deferred section carries a stub with a one-sentence description; the Enrich rubric’s</w:t>
      </w:r>
      <w:r>
        <w:t xml:space="preserve"> </w:t>
      </w:r>
      <w:r>
        <w:rPr>
          <w:i/>
          <w:iCs/>
        </w:rPr>
        <w:t xml:space="preserve">stubs_resolved</w:t>
      </w:r>
      <w:r>
        <w:t xml:space="preserve"> </w:t>
      </w:r>
      <w:r>
        <w:t xml:space="preserve">criterion, weighted at 0.22, measures the fraction of markers each Enrich run closed. Prompt design here is as much about handoffs between prompts as about any single prompt’s wording.</w:t>
      </w:r>
      <w:r>
        <w:rPr>
          <w:rStyle w:val="FootnoteReference"/>
        </w:rPr>
        <w:footnoteReference w:id="135"/>
      </w:r>
    </w:p>
    <w:p>
      <w:pPr>
        <w:pStyle w:val="BodyText"/>
      </w:pPr>
      <w:r>
        <w:t xml:space="preserve">LESSONS.md is the prompt-iteration memory file. Each entry follows a fixed schema (Rule, Why, How to apply, Seen) capped at 60 words and 35 entries, loaded only by content-editing phases. Representative amendments include the em-dash typography rule, the no-invented-case-details rule, and the rule added after</w:t>
      </w:r>
      <w:r>
        <w:t xml:space="preserve"> </w:t>
      </w:r>
      <w:r>
        <w:rPr>
          <w:i/>
          <w:iCs/>
        </w:rPr>
        <w:t xml:space="preserve">Learning Resources, Inc. v. Trump</w:t>
      </w:r>
      <w:r>
        <w:t xml:space="preserve"> </w:t>
      </w:r>
      <w:r>
        <w:t xml:space="preserve">showed that filling Connections at Ingest seeded broken links. The prompt library compounds rather than restarts.</w:t>
      </w:r>
      <w:r>
        <w:rPr>
          <w:rStyle w:val="FootnoteReference"/>
        </w:rPr>
        <w:footnoteReference w:id="136"/>
      </w:r>
    </w:p>
    <w:bookmarkEnd w:id="137"/>
    <w:bookmarkEnd w:id="138"/>
    <w:bookmarkStart w:id="155" w:name="X0ca9e5cdad16c6488ff928293e5ae7bf61b6a00"/>
    <w:p>
      <w:pPr>
        <w:pStyle w:val="Heading1"/>
      </w:pPr>
      <w:r>
        <w:t xml:space="preserve">VII. Iterative Improvement Under Professorial Control</w:t>
      </w:r>
    </w:p>
    <w:bookmarkStart w:id="140" w:name="a.-the-karpathy-loop-domesticated"/>
    <w:p>
      <w:pPr>
        <w:pStyle w:val="Heading2"/>
      </w:pPr>
      <w:r>
        <w:t xml:space="preserve">A. The Karpathy loop, domesticated</w:t>
      </w:r>
    </w:p>
    <w:p>
      <w:pPr>
        <w:pStyle w:val="FirstParagraph"/>
      </w:pPr>
      <w:r>
        <w:t xml:space="preserve">On March 7, 2026, Andrej Karpathy released</w:t>
      </w:r>
      <w:r>
        <w:t xml:space="preserve"> </w:t>
      </w:r>
      <w:r>
        <w:rPr>
          <w:rStyle w:val="VerbatimChar"/>
        </w:rPr>
        <w:t xml:space="preserve">autoresearch</w:t>
      </w:r>
      <w:r>
        <w:t xml:space="preserve">, a Python script that delegates the modify, run, evaluate, keep-or-discard loop to a language-model agent and that ran fifty experiments overnight to surface a learning-rate improvement.</w:t>
      </w:r>
      <w:r>
        <w:rPr>
          <w:rStyle w:val="FootnoteReference"/>
        </w:rPr>
        <w:footnoteReference w:id="139"/>
      </w:r>
      <w:r>
        <w:t xml:space="preserve"> </w:t>
      </w:r>
      <w:r>
        <w:t xml:space="preserve">The structural insight the script makes legible is four-piece: a per-phase rubric that scores each pass on criteria the phase owns, a lessons file that carries durable memory between passes, a rolling scorecard that records what each pass produced, and a forced-finding adversarial pass that has to return findings rather than confirm everything looks fine. The vault adopts the architecture and not the autonomous-agent setting that runs it. Karpathy’s loop runs unsupervised against a measurable scientific objective; the vault’s loop runs against a non-measurable pedagogical objective, with the professor available to gate, defer, redirect, or reverse any phase, and with reviewer comments preferred over the rotation’s own next-in-queue work. The structural insight imports because it makes generation reviewable; the autonomous-agent execution does not import because the article’s central claim is that professorial judgment is what the loop is in service of, not what the loop replaces.</w:t>
      </w:r>
    </w:p>
    <w:bookmarkEnd w:id="140"/>
    <w:bookmarkStart w:id="142" w:name="X253df6a0868286c7ae992e2bb770f10d08f5698"/>
    <w:p>
      <w:pPr>
        <w:pStyle w:val="Heading2"/>
      </w:pPr>
      <w:r>
        <w:t xml:space="preserve">B. One phase per tick: the rotation as the loop</w:t>
      </w:r>
    </w:p>
    <w:p>
      <w:pPr>
        <w:pStyle w:val="FirstParagraph"/>
      </w:pPr>
      <w:r>
        <w:t xml:space="preserve">The vault’s maintenance rotation runs through six phases (Ingest, Lint, Enrich, Expand, Synthesize, Verify) and then repeats.</w:t>
      </w:r>
      <w:r>
        <w:rPr>
          <w:rStyle w:val="FootnoteReference"/>
        </w:rPr>
        <w:footnoteReference w:id="141"/>
      </w:r>
      <w:r>
        <w:t xml:space="preserve"> </w:t>
      </w:r>
      <w:r>
        <w:t xml:space="preserve">Each scheduled-task tick selects one active phase from that sequence, executes the procedure for that phase once, writes the resulting state, and advances the next-phase pointer for the following tick. An autonomous Karpathy-style loop touches every phase in a single overnight pass; the vault commits one phase per tick and lets the rotation itself be the loop. The choice keeps each pass small enough for the professor to inspect on its own terms, lets each phase’s quality differ instead of being averaged into a single per-pass number, and gives each phase a separate scope-selection step that can prefer professorial input over the rotation’s own next-in-queue work.</w:t>
      </w:r>
    </w:p>
    <w:bookmarkEnd w:id="142"/>
    <w:bookmarkStart w:id="147" w:name="X035ddf3928f10074c3b0e548de4c462294ba801"/>
    <w:p>
      <w:pPr>
        <w:pStyle w:val="Heading2"/>
      </w:pPr>
      <w:r>
        <w:t xml:space="preserve">C. The forced-finding Verify pass: catching what other phases let pass</w:t>
      </w:r>
    </w:p>
    <w:p>
      <w:pPr>
        <w:pStyle w:val="FirstParagraph"/>
      </w:pPr>
      <w:r>
        <w:t xml:space="preserve">The Verify phase runs three hostile personas (Staleness Auditor, Contradiction Hunter, Template Enforcer); each must return at least one concrete finding per run, and a persona that genuinely finds nothing records</w:t>
      </w:r>
      <w:r>
        <w:t xml:space="preserve"> </w:t>
      </w:r>
      <w:r>
        <w:rPr>
          <w:i/>
          <w:iCs/>
        </w:rPr>
        <w:t xml:space="preserve">persona-produced-nothing</w:t>
      </w:r>
      <w:r>
        <w:t xml:space="preserve"> </w:t>
      </w:r>
      <w:r>
        <w:t xml:space="preserve">as its own finding so the absence of findings is auditable.</w:t>
      </w:r>
      <w:r>
        <w:rPr>
          <w:rStyle w:val="FootnoteReference"/>
        </w:rPr>
        <w:footnoteReference w:id="143"/>
      </w:r>
      <w:r>
        <w:t xml:space="preserve"> </w:t>
      </w:r>
      <w:r>
        <w:t xml:space="preserve">A lead-rotation table and a per-persona focus-mutation table both keyed off the Verify run count reshape the lead-and-focus pairing every pass. The forced-finding rule converts Verify from a phase that confirms things look fine into a phase that catches what prior phases missed.</w:t>
      </w:r>
    </w:p>
    <w:p>
      <w:pPr>
        <w:pStyle w:val="BodyText"/>
      </w:pPr>
      <w:r>
        <w:t xml:space="preserve">The</w:t>
      </w:r>
      <w:r>
        <w:t xml:space="preserve"> </w:t>
      </w:r>
      <w:r>
        <w:rPr>
          <w:i/>
          <w:iCs/>
        </w:rPr>
        <w:t xml:space="preserve">Prize Cases</w:t>
      </w:r>
      <w:r>
        <w:t xml:space="preserve"> </w:t>
      </w:r>
      <w:r>
        <w:t xml:space="preserve">(1863) is the canonical iteration story.</w:t>
      </w:r>
      <w:r>
        <w:rPr>
          <w:rStyle w:val="FootnoteReference"/>
        </w:rPr>
        <w:footnoteReference w:id="144"/>
      </w:r>
      <w:r>
        <w:t xml:space="preserve"> </w:t>
      </w:r>
      <w:r>
        <w:t xml:space="preserve">Ingest pulled a Justice Grier quotation from the professor’s modernized PDF, and the language read clean on its face. Midpage’s</w:t>
      </w:r>
      <w:r>
        <w:t xml:space="preserve"> </w:t>
      </w:r>
      <w:r>
        <w:rPr>
          <w:rStyle w:val="VerbatimChar"/>
        </w:rPr>
        <w:t xml:space="preserve">findInOpinion</w:t>
      </w:r>
      <w:r>
        <w:t xml:space="preserve"> </w:t>
      </w:r>
      <w:r>
        <w:t xml:space="preserve">returned zero results when asked to verify, and the zero was logged as an OCR artifact and left alone. The corrupted quotation propagated from the brief to the War Powers topic page. Several runs later, a Verify persona was specifically told not to accept zero results as an answer and switched from keyword search to</w:t>
      </w:r>
      <w:r>
        <w:t xml:space="preserve"> </w:t>
      </w:r>
      <w:r>
        <w:rPr>
          <w:rStyle w:val="VerbatimChar"/>
        </w:rPr>
        <w:t xml:space="preserve">analyzeOpinion</w:t>
      </w:r>
      <w:r>
        <w:t xml:space="preserve">; Midpage returned Grier’s actual language. The vault had said “never formally declared…by its character.” Grier wrote “never solemnly declared…by its accidents.” The correction was grep-driven back across the vault to catch the stale copy on the topic page. The error had run through Ingest, Lint, two Enrich passes, and Expand before Verify caught it.</w:t>
      </w:r>
    </w:p>
    <w:p>
      <w:pPr>
        <w:pStyle w:val="BodyText"/>
      </w:pPr>
      <w:r>
        <w:t xml:space="preserve">A second iteration story shows the same loop catching a different type of error. The Judicial Votes section of the</w:t>
      </w:r>
      <w:r>
        <w:t xml:space="preserve"> </w:t>
      </w:r>
      <w:r>
        <w:rPr>
          <w:i/>
          <w:iCs/>
        </w:rPr>
        <w:t xml:space="preserve">Youngstown</w:t>
      </w:r>
      <w:r>
        <w:t xml:space="preserve"> </w:t>
      </w:r>
      <w:r>
        <w:t xml:space="preserve">brief first read that Frankfurter, Douglas, Jackson, and Burton all “joined” Black’s majority. The shorthand is defensible but misleading for a law student, because</w:t>
      </w:r>
      <w:r>
        <w:t xml:space="preserve"> </w:t>
      </w:r>
      <w:r>
        <w:rPr>
          <w:i/>
          <w:iCs/>
        </w:rPr>
        <w:t xml:space="preserve">Youngstown</w:t>
      </w:r>
      <w:r>
        <w:t xml:space="preserve">’s six-justice majority produced six separate opinions, with two justices joining the opinion and also writing separately and three concurring in the judgment only.</w:t>
      </w:r>
      <w:r>
        <w:rPr>
          <w:rStyle w:val="FootnoteReference"/>
        </w:rPr>
        <w:footnoteReference w:id="145"/>
      </w:r>
      <w:r>
        <w:t xml:space="preserve"> </w:t>
      </w:r>
      <w:r>
        <w:t xml:space="preserve">The brief sat partially wrong through several cycles because no prior phase was looking for the mischaracterization. The Contradiction Hunter persona on a focus-area pass dedicated to concurrence-versus-majority mischaracterization triggered an</w:t>
      </w:r>
      <w:r>
        <w:t xml:space="preserve"> </w:t>
      </w:r>
      <w:r>
        <w:rPr>
          <w:rStyle w:val="VerbatimChar"/>
        </w:rPr>
        <w:t xml:space="preserve">analyzeOpinion</w:t>
      </w:r>
      <w:r>
        <w:t xml:space="preserve"> </w:t>
      </w:r>
      <w:r>
        <w:t xml:space="preserve">re-check of Frankfurter’s actual language and produced the rewrite. Two iteration stories broaden the failure-mode coverage from quotation-text errors to doctrinal-characterization errors. The forced-finding architecture responds to the AI-in-higher-education field’s call for increased ethics, collaboration, and rigour. The meta-review naming that call surveys chatbot-tutor and adaptive-system interventions rather than review-ready static publications, yet the field-level evidentiary standard it sets applies here too.</w:t>
      </w:r>
      <w:r>
        <w:rPr>
          <w:rStyle w:val="FootnoteReference"/>
        </w:rPr>
        <w:footnoteReference w:id="146"/>
      </w:r>
    </w:p>
    <w:bookmarkEnd w:id="147"/>
    <w:bookmarkStart w:id="151" w:name="X2c09db6e9893010ef40d3810b50ecf0942ed498"/>
    <w:p>
      <w:pPr>
        <w:pStyle w:val="Heading2"/>
      </w:pPr>
      <w:r>
        <w:t xml:space="preserve">D. Loop memory: LESSONS as durable record, scorecard and narrative as audit trail</w:t>
      </w:r>
    </w:p>
    <w:p>
      <w:pPr>
        <w:pStyle w:val="FirstParagraph"/>
      </w:pPr>
      <w:r>
        <w:t xml:space="preserve">The vault’s lessons file is the loop’s running memory.</w:t>
      </w:r>
      <w:r>
        <w:rPr>
          <w:rStyle w:val="FootnoteReference"/>
        </w:rPr>
        <w:footnoteReference w:id="148"/>
      </w:r>
      <w:r>
        <w:t xml:space="preserve"> </w:t>
      </w:r>
      <w:r>
        <w:t xml:space="preserve">Every run that catches an error or notices a pattern appends a fixed-schema entry (Rule, Why, How to apply, an optional dated Seen footer). The file is capped at thirty-five entries, and an out-of-rotation Consolidate sweep merges duplicates and prunes superseded entries so the cap stays honest rather than aspirational. Loading is tiered: Ingest, Enrich, Expand, and Synthesize read the file because they generate content; Lint and Verify skip it because the corrections that govern structural checks differ from the corrections that govern content. The lessons file is what answers a reader who asks whether the loop is improving or just running.</w:t>
      </w:r>
    </w:p>
    <w:p>
      <w:pPr>
        <w:pStyle w:val="BodyText"/>
      </w:pPr>
      <w:r>
        <w:t xml:space="preserve">The token-problem story shows the loop reshaping its own architecture rather than catching a content error.</w:t>
      </w:r>
      <w:r>
        <w:rPr>
          <w:rStyle w:val="FootnoteReference"/>
        </w:rPr>
        <w:footnoteReference w:id="149"/>
      </w:r>
      <w:r>
        <w:t xml:space="preserve"> </w:t>
      </w:r>
      <w:r>
        <w:t xml:space="preserve">Early runs loaded one large single-file rubric covering all six phases, the full lessons file, and the entire build narrative every pass, so a Lint run that only cared about structural formatting was burning context on Enrich and Verify criteria it would never use. The fix was tiered loading (per-phase rubric files, the lessons file skipped by Lint and Verify, the build narrative rotated monthly, no-op phases stopped being scored); a secondary fix fell out of the same change, because the shared rubric had let one phase game a criterion in a way that made its own score look good and another phase’s job harder. The per-phase-rubric-only principle is the article’s own L-007.</w:t>
      </w:r>
    </w:p>
    <w:p>
      <w:pPr>
        <w:pStyle w:val="BodyText"/>
      </w:pPr>
      <w:r>
        <w:t xml:space="preserve">The vault’s run-by-run scorecard and its rolling build narrative are the loop’s audit trail.</w:t>
      </w:r>
      <w:r>
        <w:rPr>
          <w:rStyle w:val="FootnoteReference"/>
        </w:rPr>
        <w:footnoteReference w:id="150"/>
      </w:r>
      <w:r>
        <w:t xml:space="preserve"> </w:t>
      </w:r>
      <w:r>
        <w:t xml:space="preserve">The scorecard holds one JSON line per run containing the active phase, the weighted criteria scores, the red-flag list if any, and the timestamp. The narrative holds a two-to-four-sentence prose entry per run describing what the phase did and what was learned. The two artifacts together let a reviewer reconstruct the loop’s state at any past moment: the scorecard for measurable phase quality, the narrative for the structural context the score alone cannot carry.</w:t>
      </w:r>
    </w:p>
    <w:bookmarkEnd w:id="151"/>
    <w:bookmarkStart w:id="154" w:name="Xcbff9bd6c749396ad13f338b051d6d33b21f73a"/>
    <w:p>
      <w:pPr>
        <w:pStyle w:val="Heading2"/>
      </w:pPr>
      <w:r>
        <w:t xml:space="preserve">E. Professorial control: the page-feedback intake and the staging triplet</w:t>
      </w:r>
    </w:p>
    <w:p>
      <w:pPr>
        <w:pStyle w:val="FirstParagraph"/>
      </w:pPr>
      <w:r>
        <w:t xml:space="preserve">The vault’s answer to professorial control is the page-feedback intake at Step 0 of every scheduled-task run.</w:t>
      </w:r>
      <w:r>
        <w:rPr>
          <w:rStyle w:val="FootnoteReference"/>
        </w:rPr>
        <w:footnoteReference w:id="152"/>
      </w:r>
      <w:r>
        <w:t xml:space="preserve"> </w:t>
      </w:r>
      <w:r>
        <w:t xml:space="preserve">Before the phase dispatcher selects the active phase, Step 0 pulls inbound comments from the deployed-site page-feedback form, triages each submission into one of six routes (trivial fix, structural, analytical, cross-reference, topic-level, verification), and logs a typed</w:t>
      </w:r>
      <w:r>
        <w:t xml:space="preserve"> </w:t>
      </w:r>
      <w:r>
        <w:rPr>
          <w:i/>
          <w:iCs/>
        </w:rPr>
        <w:t xml:space="preserve">professor-feedback</w:t>
      </w:r>
      <w:r>
        <w:t xml:space="preserve"> </w:t>
      </w:r>
      <w:r>
        <w:t xml:space="preserve">pending issue routed to the phase that owns the fix. Trivial fixes land on the same run; structural and substantive feedback waits for the phase that owns the fix to rotate around, and that phase’s scope-selection step must prefer pages carrying open</w:t>
      </w:r>
      <w:r>
        <w:t xml:space="preserve"> </w:t>
      </w:r>
      <w:r>
        <w:rPr>
          <w:i/>
          <w:iCs/>
        </w:rPr>
        <w:t xml:space="preserve">professor-feedback</w:t>
      </w:r>
      <w:r>
        <w:t xml:space="preserve"> </w:t>
      </w:r>
      <w:r>
        <w:t xml:space="preserve">issues routed to it. The intake is the architectural feature that distinguishes the vault’s loop from a Karpathy-style autonomous loop. The staging triplet is its observable counterpart:</w:t>
      </w:r>
      <w:r>
        <w:t xml:space="preserve"> </w:t>
      </w:r>
      <w:r>
        <w:rPr>
          <w:i/>
          <w:iCs/>
        </w:rPr>
        <w:t xml:space="preserve">Trump v. United States</w:t>
      </w:r>
      <w:r>
        <w:t xml:space="preserve"> </w:t>
      </w:r>
      <w:r>
        <w:t xml:space="preserve">sits at the skeleton stage, with the factual sections filled and the rest marked by</w:t>
      </w:r>
      <w:r>
        <w:t xml:space="preserve"> </w:t>
      </w:r>
      <w:r>
        <w:rPr>
          <w:rStyle w:val="VerbatimChar"/>
        </w:rPr>
        <w:t xml:space="preserve">&lt;!-- ENRICH: --&gt;</w:t>
      </w:r>
      <w:r>
        <w:t xml:space="preserve"> </w:t>
      </w:r>
      <w:r>
        <w:t xml:space="preserve">stubs; the Rehnquist Court Commerce Clause lecture covering</w:t>
      </w:r>
      <w:r>
        <w:t xml:space="preserve"> </w:t>
      </w:r>
      <w:r>
        <w:rPr>
          <w:i/>
          <w:iCs/>
        </w:rPr>
        <w:t xml:space="preserve">Lopez</w:t>
      </w:r>
      <w:r>
        <w:t xml:space="preserve"> </w:t>
      </w:r>
      <w:r>
        <w:t xml:space="preserve">and</w:t>
      </w:r>
      <w:r>
        <w:t xml:space="preserve"> </w:t>
      </w:r>
      <w:r>
        <w:rPr>
          <w:i/>
          <w:iCs/>
        </w:rPr>
        <w:t xml:space="preserve">Morrison</w:t>
      </w:r>
      <w:r>
        <w:t xml:space="preserve"> </w:t>
      </w:r>
      <w:r>
        <w:t xml:space="preserve">is mid-cycle, mostly clean with a handful of stubs marking places to go deeper;</w:t>
      </w:r>
      <w:r>
        <w:t xml:space="preserve"> </w:t>
      </w:r>
      <w:r>
        <w:rPr>
          <w:i/>
          <w:iCs/>
        </w:rPr>
        <w:t xml:space="preserve">Gonzales v. Raich</w:t>
      </w:r>
      <w:r>
        <w:t xml:space="preserve"> </w:t>
      </w:r>
      <w:r>
        <w:t xml:space="preserve">is a case after a full Enrich cycle, with majority analysis, Scalia’s concurrence, O’Connor’s and Thomas’s dissents, five hypotheticals, critique from both directions, and every Key Quotation pin-cited against Midpage.</w:t>
      </w:r>
      <w:r>
        <w:rPr>
          <w:rStyle w:val="FootnoteReference"/>
        </w:rPr>
        <w:footnoteReference w:id="153"/>
      </w:r>
      <w:r>
        <w:t xml:space="preserve"> </w:t>
      </w:r>
      <w:r>
        <w:t xml:space="preserve">The system did not replace professorial judgment; it made that judgment reusable, inspectable, and publishable.</w:t>
      </w:r>
    </w:p>
    <w:bookmarkEnd w:id="154"/>
    <w:bookmarkEnd w:id="155"/>
    <w:bookmarkStart w:id="177" w:name="viii.-from-vault-to-website"/>
    <w:p>
      <w:pPr>
        <w:pStyle w:val="Heading1"/>
      </w:pPr>
      <w:r>
        <w:t xml:space="preserve">VIII. From Vault to Website</w:t>
      </w:r>
    </w:p>
    <w:bookmarkStart w:id="159" w:name="a.-what-the-deployed-site-is"/>
    <w:p>
      <w:pPr>
        <w:pStyle w:val="Heading2"/>
      </w:pPr>
      <w:r>
        <w:t xml:space="preserve">A. What the deployed site is</w:t>
      </w:r>
    </w:p>
    <w:p>
      <w:pPr>
        <w:pStyle w:val="FirstParagraph"/>
      </w:pPr>
      <w:r>
        <w:t xml:space="preserve">The vault is published at https://constitutionallaw.netlify.app, with a fixed-date corpus snapshot of 198 pages (92 case briefs, 27 doctrinal topic pages, and 79 lecture summaries) captured in the same progress report that anchors Section IV’s input-corpus inventory.</w:t>
      </w:r>
      <w:r>
        <w:rPr>
          <w:rStyle w:val="FootnoteReference"/>
        </w:rPr>
        <w:footnoteReference w:id="156"/>
      </w:r>
      <w:r>
        <w:t xml:space="preserve"> </w:t>
      </w:r>
      <w:r>
        <w:t xml:space="preserve">The deployed site, not the local vault on disk, is the artifact a student or peer reviewer actually opens; the vault on disk is the upstream source that the build script reads. Section VIII opens by naming the URL and the snapshot, then walks the pipeline that produces what the CDN serves, so the IV-V-VIII trio triangulates on a single fact rather than restating page counts at every pass.</w:t>
      </w:r>
      <w:r>
        <w:rPr>
          <w:rStyle w:val="FootnoteReference"/>
        </w:rPr>
        <w:footnoteReference w:id="157"/>
      </w:r>
      <w:r>
        <w:t xml:space="preserve"> </w:t>
      </w:r>
      <w:r>
        <w:t xml:space="preserve">One disclosure belongs at the top of this section, because it controls the architectural claim that follows: the May 2026 snapshot pages were published as review-ready drafts rather than as individually professor-approved pages. The build pipeline and the deploy-phase entry guard are the design that makes professorial review possible at a single inspectable build-time checkpoint, but a build-time review of the 198-page snapshot at the gating-actor level the workflow contemplates had not been completed when those pages went live, and the article does not claim it had.</w:t>
      </w:r>
      <w:r>
        <w:rPr>
          <w:rStyle w:val="FootnoteReference"/>
        </w:rPr>
        <w:footnoteReference w:id="158"/>
      </w:r>
    </w:p>
    <w:bookmarkEnd w:id="159"/>
    <w:bookmarkStart w:id="164" w:name="Xf400cf0107b1f65b0b33a50a01b63a10d28340c"/>
    <w:p>
      <w:pPr>
        <w:pStyle w:val="Heading2"/>
      </w:pPr>
      <w:r>
        <w:t xml:space="preserve">B. The build pipeline: markdown to JSON to SPA shell</w:t>
      </w:r>
    </w:p>
    <w:p>
      <w:pPr>
        <w:pStyle w:val="FirstParagraph"/>
      </w:pPr>
      <w:r>
        <w:t xml:space="preserve">The build is one Python script,</w:t>
      </w:r>
      <w:r>
        <w:t xml:space="preserve"> </w:t>
      </w:r>
      <w:r>
        <w:rPr>
          <w:rStyle w:val="VerbatimChar"/>
        </w:rPr>
        <w:t xml:space="preserve">.site/build.py</w:t>
      </w:r>
      <w:r>
        <w:t xml:space="preserve">, supported by three hand-written shell files:</w:t>
      </w:r>
      <w:r>
        <w:t xml:space="preserve"> </w:t>
      </w:r>
      <w:r>
        <w:rPr>
          <w:rStyle w:val="VerbatimChar"/>
        </w:rPr>
        <w:t xml:space="preserve">index.html</w:t>
      </w:r>
      <w:r>
        <w:t xml:space="preserve">,</w:t>
      </w:r>
      <w:r>
        <w:t xml:space="preserve"> </w:t>
      </w:r>
      <w:r>
        <w:rPr>
          <w:rStyle w:val="VerbatimChar"/>
        </w:rPr>
        <w:t xml:space="preserve">app.js</w:t>
      </w:r>
      <w:r>
        <w:t xml:space="preserve">, and</w:t>
      </w:r>
      <w:r>
        <w:t xml:space="preserve"> </w:t>
      </w:r>
      <w:r>
        <w:rPr>
          <w:rStyle w:val="VerbatimChar"/>
        </w:rPr>
        <w:t xml:space="preserve">style.css</w:t>
      </w:r>
      <w:r>
        <w:t xml:space="preserve">.</w:t>
      </w:r>
      <w:r>
        <w:rPr>
          <w:rStyle w:val="FootnoteReference"/>
        </w:rPr>
        <w:footnoteReference w:id="160"/>
      </w:r>
      <w:r>
        <w:t xml:space="preserve"> </w:t>
      </w:r>
      <w:r>
        <w:t xml:space="preserve">The script walks the three content folders (Cases, Topics, Lectures), parses each page’s YAML frontmatter, renders the markdown body with</w:t>
      </w:r>
      <w:r>
        <w:t xml:space="preserve"> </w:t>
      </w:r>
      <w:r>
        <w:rPr>
          <w:rStyle w:val="VerbatimChar"/>
        </w:rPr>
        <w:t xml:space="preserve">markdown-it</w:t>
      </w:r>
      <w:r>
        <w:t xml:space="preserve">, resolves Obsidian-style wiki-link syntax into in-app hash routes of the form</w:t>
      </w:r>
      <w:r>
        <w:t xml:space="preserve"> </w:t>
      </w:r>
      <w:r>
        <w:rPr>
          <w:rStyle w:val="VerbatimChar"/>
        </w:rPr>
        <w:t xml:space="preserve">#/p/&lt;kind&gt;/&lt;slug&gt;</w:t>
      </w:r>
      <w:r>
        <w:t xml:space="preserve">, extracts the structured holding-bar and citation-metadata block from each case page, and writes three JSON artifacts into</w:t>
      </w:r>
      <w:r>
        <w:t xml:space="preserve"> </w:t>
      </w:r>
      <w:r>
        <w:rPr>
          <w:rStyle w:val="VerbatimChar"/>
        </w:rPr>
        <w:t xml:space="preserve">.site/dist/</w:t>
      </w:r>
      <w:r>
        <w:t xml:space="preserve">:</w:t>
      </w:r>
      <w:r>
        <w:t xml:space="preserve"> </w:t>
      </w:r>
      <w:r>
        <w:rPr>
          <w:rStyle w:val="VerbatimChar"/>
        </w:rPr>
        <w:t xml:space="preserve">pages.json</w:t>
      </w:r>
      <w:r>
        <w:t xml:space="preserve"> </w:t>
      </w:r>
      <w:r>
        <w:t xml:space="preserve">(full corpus with rendered HTML and search text),</w:t>
      </w:r>
      <w:r>
        <w:t xml:space="preserve"> </w:t>
      </w:r>
      <w:r>
        <w:rPr>
          <w:rStyle w:val="VerbatimChar"/>
        </w:rPr>
        <w:t xml:space="preserve">manifest.json</w:t>
      </w:r>
      <w:r>
        <w:t xml:space="preserve"> </w:t>
      </w:r>
      <w:r>
        <w:t xml:space="preserve">(lightweight index for navigation and counts), and</w:t>
      </w:r>
      <w:r>
        <w:t xml:space="preserve"> </w:t>
      </w:r>
      <w:r>
        <w:rPr>
          <w:rStyle w:val="VerbatimChar"/>
        </w:rPr>
        <w:t xml:space="preserve">search.json</w:t>
      </w:r>
      <w:r>
        <w:t xml:space="preserve"> </w:t>
      </w:r>
      <w:r>
        <w:t xml:space="preserve">(compact text index for the search palette).</w:t>
      </w:r>
      <w:r>
        <w:rPr>
          <w:rStyle w:val="FootnoteReference"/>
        </w:rPr>
        <w:footnoteReference w:id="161"/>
      </w:r>
      <w:r>
        <w:t xml:space="preserve"> </w:t>
      </w:r>
      <w:r>
        <w:t xml:space="preserve">The runtime shell loads those artifacts client-side, defines a hash-route navigation that reaches every page through a stable URL, wires a ⌘K search palette to</w:t>
      </w:r>
      <w:r>
        <w:t xml:space="preserve"> </w:t>
      </w:r>
      <w:r>
        <w:rPr>
          <w:rStyle w:val="VerbatimChar"/>
        </w:rPr>
        <w:t xml:space="preserve">search.json</w:t>
      </w:r>
      <w:r>
        <w:t xml:space="preserve">, registers a Netlify</w:t>
      </w:r>
      <w:r>
        <w:t xml:space="preserve"> </w:t>
      </w:r>
      <w:r>
        <w:rPr>
          <w:rStyle w:val="VerbatimChar"/>
        </w:rPr>
        <w:t xml:space="preserve">page-feedback</w:t>
      </w:r>
      <w:r>
        <w:t xml:space="preserve"> </w:t>
      </w:r>
      <w:r>
        <w:t xml:space="preserve">form stub at build time, and embeds PostHog analytics with session recording disabled and Do Not Track respected.</w:t>
      </w:r>
      <w:r>
        <w:rPr>
          <w:rStyle w:val="FootnoteReference"/>
        </w:rPr>
        <w:footnoteReference w:id="162"/>
      </w:r>
      <w:r>
        <w:t xml:space="preserve"> </w:t>
      </w:r>
      <w:r>
        <w:t xml:space="preserve">The production surface is narrow enough that the author can reason about every step from markdown source to rendered page without a model in the request path, and the search palette is the visible artifact of that narrow surface.</w:t>
      </w:r>
      <w:r>
        <w:rPr>
          <w:rStyle w:val="FootnoteReference"/>
        </w:rPr>
        <w:footnoteReference w:id="163"/>
      </w:r>
    </w:p>
    <w:bookmarkEnd w:id="164"/>
    <w:bookmarkStart w:id="169" w:name="Xe33d988b22d8703718649d81304e204249b69be"/>
    <w:p>
      <w:pPr>
        <w:pStyle w:val="Heading2"/>
      </w:pPr>
      <w:r>
        <w:t xml:space="preserve">C. Deploy as a first-class rotation phase</w:t>
      </w:r>
    </w:p>
    <w:p>
      <w:pPr>
        <w:pStyle w:val="FirstParagraph"/>
      </w:pPr>
      <w:r>
        <w:t xml:space="preserve">Deployment is a Netlify CLI direct upload using a local personal access token, gitignored and never committed.</w:t>
      </w:r>
      <w:r>
        <w:rPr>
          <w:rStyle w:val="FootnoteReference"/>
        </w:rPr>
        <w:footnoteReference w:id="165"/>
      </w:r>
      <w:r>
        <w:t xml:space="preserve"> </w:t>
      </w:r>
      <w:r>
        <w:t xml:space="preserve">The</w:t>
      </w:r>
      <w:r>
        <w:t xml:space="preserve"> </w:t>
      </w:r>
      <w:r>
        <w:rPr>
          <w:rStyle w:val="VerbatimChar"/>
        </w:rPr>
        <w:t xml:space="preserve">netlify.toml</w:t>
      </w:r>
      <w:r>
        <w:t xml:space="preserve"> </w:t>
      </w:r>
      <w:r>
        <w:t xml:space="preserve">disables post-processing and registers a single SPA-style redirect, so the artifact uploaded is exactly the artifact served; a three-tier fallback chain (CLI direct upload preferred, Netlify MCP fallback,</w:t>
      </w:r>
      <w:r>
        <w:t xml:space="preserve"> </w:t>
      </w:r>
      <w:r>
        <w:rPr>
          <w:rStyle w:val="VerbatimChar"/>
        </w:rPr>
        <w:t xml:space="preserve">.site/deploy.sh</w:t>
      </w:r>
      <w:r>
        <w:t xml:space="preserve"> </w:t>
      </w:r>
      <w:r>
        <w:t xml:space="preserve">shell wrapper as last resort) keeps deploys reproducible from a scheduled task without leaking credentials and, on the preferred path, without consuming Netlify build minutes.</w:t>
      </w:r>
      <w:r>
        <w:rPr>
          <w:rStyle w:val="FootnoteReference"/>
        </w:rPr>
        <w:footnoteReference w:id="166"/>
      </w:r>
      <w:r>
        <w:t xml:space="preserve"> </w:t>
      </w:r>
      <w:r>
        <w:t xml:space="preserve">Deploy is a first-class rotation phase, with its own per-phase rubric, its own pending-issue lifecycle, and a cardinal rule that no vault failing Verify may be published; a stale live site is recoverable, a broken wiki in front of the professor is not.</w:t>
      </w:r>
      <w:r>
        <w:rPr>
          <w:rStyle w:val="FootnoteReference"/>
        </w:rPr>
        <w:footnoteReference w:id="167"/>
      </w:r>
      <w:r>
        <w:t xml:space="preserve"> </w:t>
      </w:r>
      <w:r>
        <w:t xml:space="preserve">Post-deploy verification distinguishes a successful upload from a successful publication via four sub-checks against the production CDN: a manifest-count comparison, a deterministically sampled eight-page fetch, a search-sanity probe confirming the live</w:t>
      </w:r>
      <w:r>
        <w:t xml:space="preserve"> </w:t>
      </w:r>
      <w:r>
        <w:rPr>
          <w:rStyle w:val="VerbatimChar"/>
        </w:rPr>
        <w:t xml:space="preserve">search.json</w:t>
      </w:r>
      <w:r>
        <w:t xml:space="preserve"> </w:t>
      </w:r>
      <w:r>
        <w:t xml:space="preserve">returns</w:t>
      </w:r>
      <w:r>
        <w:t xml:space="preserve"> </w:t>
      </w:r>
      <w:r>
        <w:rPr>
          <w:i/>
          <w:iCs/>
        </w:rPr>
        <w:t xml:space="preserve">Marbury</w:t>
      </w:r>
      <w:r>
        <w:t xml:space="preserve"> </w:t>
      </w:r>
      <w:r>
        <w:t xml:space="preserve">for the query “judicial review,” and a Source Materials HEAD sample; each failure mode opens a typed pending issue and blocks state advance.</w:t>
      </w:r>
      <w:r>
        <w:rPr>
          <w:rStyle w:val="FootnoteReference"/>
        </w:rPr>
        <w:footnoteReference w:id="168"/>
      </w:r>
    </w:p>
    <w:bookmarkEnd w:id="169"/>
    <w:bookmarkStart w:id="173" w:name="Xdaf9cf4c1297897427db58ca75657a41de2b34a"/>
    <w:p>
      <w:pPr>
        <w:pStyle w:val="Heading2"/>
      </w:pPr>
      <w:r>
        <w:t xml:space="preserve">D. Auditable inputs and a closed feedback loop</w:t>
      </w:r>
    </w:p>
    <w:p>
      <w:pPr>
        <w:pStyle w:val="FirstParagraph"/>
      </w:pPr>
      <w:r>
        <w:t xml:space="preserve">The deployed site serves the professor’s original source materials behind direct download links the build emits whenever a page wiki-links to a file under</w:t>
      </w:r>
      <w:r>
        <w:t xml:space="preserve"> </w:t>
      </w:r>
      <w:r>
        <w:rPr>
          <w:rStyle w:val="VerbatimChar"/>
        </w:rPr>
        <w:t xml:space="preserve">Source Materials/</w:t>
      </w:r>
      <w:r>
        <w:t xml:space="preserve">, with</w:t>
      </w:r>
      <w:r>
        <w:t xml:space="preserve"> </w:t>
      </w:r>
      <w:r>
        <w:rPr>
          <w:rStyle w:val="VerbatimChar"/>
        </w:rPr>
        <w:t xml:space="preserve">_headers</w:t>
      </w:r>
      <w:r>
        <w:t xml:space="preserve"> </w:t>
      </w:r>
      <w:r>
        <w:t xml:space="preserve">rules giving source files long-lived caching while the generated JSON artifacts stay on short TTLs.</w:t>
      </w:r>
      <w:r>
        <w:rPr>
          <w:rStyle w:val="FootnoteReference"/>
        </w:rPr>
        <w:footnoteReference w:id="170"/>
      </w:r>
      <w:r>
        <w:t xml:space="preserve"> </w:t>
      </w:r>
      <w:r>
        <w:t xml:space="preserve">A reader can click from a brief to the original slide deck or annotated opinion it was built from; the auditable-input commitment pairs with the auditable-output commitment of a review-ready static page whose contents are fixed at build time and inspectable as published. Every run also begins with Step 0, which pulls submissions from the Netlify</w:t>
      </w:r>
      <w:r>
        <w:t xml:space="preserve"> </w:t>
      </w:r>
      <w:r>
        <w:rPr>
          <w:rStyle w:val="VerbatimChar"/>
        </w:rPr>
        <w:t xml:space="preserve">page-feedback</w:t>
      </w:r>
      <w:r>
        <w:t xml:space="preserve"> </w:t>
      </w:r>
      <w:r>
        <w:t xml:space="preserve">form, triages each into the phase that can fix it (Lint for typos, Enrich for content gaps, Synthesize for new topics, Verify for disputed facts), and either fixes inline or logs a typed pending issue carrying the page identifier, title, submitter identity, verbatim comment, and Netlify submission identifier; the scope-selection step of the next-running phase prefers pages with open</w:t>
      </w:r>
      <w:r>
        <w:t xml:space="preserve"> </w:t>
      </w:r>
      <w:r>
        <w:rPr>
          <w:rStyle w:val="VerbatimChar"/>
        </w:rPr>
        <w:t xml:space="preserve">professor-feedback</w:t>
      </w:r>
      <w:r>
        <w:t xml:space="preserve"> </w:t>
      </w:r>
      <w:r>
        <w:t xml:space="preserve">issues routed to that phase.</w:t>
      </w:r>
      <w:r>
        <w:rPr>
          <w:rStyle w:val="FootnoteReference"/>
        </w:rPr>
        <w:footnoteReference w:id="171"/>
      </w:r>
      <w:r>
        <w:t xml:space="preserve"> </w:t>
      </w:r>
      <w:r>
        <w:t xml:space="preserve">The published site talks back to the vault, and the vault routes the talk-back through the same rotation that produced the page.</w:t>
      </w:r>
      <w:r>
        <w:rPr>
          <w:rStyle w:val="FootnoteReference"/>
        </w:rPr>
        <w:footnoteReference w:id="172"/>
      </w:r>
    </w:p>
    <w:bookmarkEnd w:id="173"/>
    <w:bookmarkStart w:id="176" w:name="e.-review-ready-static-site-not-chatbot"/>
    <w:p>
      <w:pPr>
        <w:pStyle w:val="Heading2"/>
      </w:pPr>
      <w:r>
        <w:t xml:space="preserve">E. Review-ready static site, not chatbot</w:t>
      </w:r>
    </w:p>
    <w:p>
      <w:pPr>
        <w:pStyle w:val="FirstParagraph"/>
      </w:pPr>
      <w:r>
        <w:t xml:space="preserve">Section VIII’s most load-bearing claim is the architectural one: the case study is a review-ready static site, not a chatbot.</w:t>
      </w:r>
      <w:r>
        <w:rPr>
          <w:rStyle w:val="FootnoteReference"/>
        </w:rPr>
        <w:footnoteReference w:id="174"/>
      </w:r>
      <w:r>
        <w:t xml:space="preserve"> </w:t>
      </w:r>
      <w:r>
        <w:t xml:space="preserve">No LLM sits in the request path. The published page is a stable HTML and JSON artifact, produced by the rotation phases at publish time and served by the CDN without further model inference; the architecture relocates risk from a model’s response at the moment of student inquiry to an inspectable build-time checkpoint at which the rotation phases and the professor are the designed reviewers. The article makes no claim that the May 2026 snapshot pages received that individual review before they went live, only that the architecture and the deploy entry guard are what make the review possible and what hold a failed-verify build back from publication. Section XII develops this contrast against contemporaneous chatbot architectures and the Magesh hallucination findings.</w:t>
      </w:r>
      <w:r>
        <w:rPr>
          <w:rStyle w:val="FootnoteReference"/>
        </w:rPr>
        <w:footnoteReference w:id="175"/>
      </w:r>
    </w:p>
    <w:bookmarkEnd w:id="176"/>
    <w:bookmarkEnd w:id="177"/>
    <w:bookmarkStart w:id="197" w:name="ix.-cost-and-labor-the-honest-accounting"/>
    <w:p>
      <w:pPr>
        <w:pStyle w:val="Heading1"/>
      </w:pPr>
      <w:r>
        <w:t xml:space="preserve">IX. Cost and Labor: The Honest Accounting</w:t>
      </w:r>
    </w:p>
    <w:bookmarkStart w:id="181" w:name="a.-the-cost-the-case-study-can-claim"/>
    <w:p>
      <w:pPr>
        <w:pStyle w:val="Heading2"/>
      </w:pPr>
      <w:r>
        <w:t xml:space="preserve">A. The cost the case study can claim</w:t>
      </w:r>
    </w:p>
    <w:p>
      <w:pPr>
        <w:pStyle w:val="FirstParagraph"/>
      </w:pPr>
      <w:r>
        <w:t xml:space="preserve">An honest cost-and-labor table is essential for a method paper: without one, the architectural claims in Sections III, VIII, and X read as unfalsifiable. The case study is the vault, so the costs Section IX reports are the vault’s, not this article’s; the article-writing loop that produced this paper was a comparable scheduled-task system whose log lives in a companion note.</w:t>
      </w:r>
      <w:r>
        <w:rPr>
          <w:rStyle w:val="FootnoteReference"/>
        </w:rPr>
        <w:footnoteReference w:id="178"/>
      </w:r>
      <w:r>
        <w:t xml:space="preserve"> </w:t>
      </w:r>
      <w:r>
        <w:rPr>
          <w:rStyle w:val="FootnoteReference"/>
        </w:rPr>
        <w:footnoteReference w:id="179"/>
      </w:r>
      <w:r>
        <w:t xml:space="preserve"> </w:t>
      </w:r>
      <w:r>
        <w:t xml:space="preserve">The vault’s record supports a counted tick total over a counted calendar window with a counted deliverable, and it does not support a compute-hours or dollar figure; what follows reports the column the record instruments and names what it does not.</w:t>
      </w:r>
      <w:r>
        <w:rPr>
          <w:rStyle w:val="FootnoteReference"/>
        </w:rPr>
        <w:footnoteReference w:id="180"/>
      </w:r>
    </w:p>
    <w:bookmarkEnd w:id="181"/>
    <w:bookmarkStart w:id="184" w:name="X0cf24f59257381fdcf3c17fe455dc3806f101af"/>
    <w:p>
      <w:pPr>
        <w:pStyle w:val="Heading2"/>
      </w:pPr>
      <w:r>
        <w:t xml:space="preserve">B. Deploy cost: bounded under normal operation, blocked when credits exhaust</w:t>
      </w:r>
    </w:p>
    <w:p>
      <w:pPr>
        <w:pStyle w:val="FirstParagraph"/>
      </w:pPr>
      <w:r>
        <w:t xml:space="preserve">The deployed-site hosting bill is a two-state architectural property rather than a single number. The preferred deploy path is Netlify CLI direct upload from the scheduled task, which does not consume Netlify build minutes because the build runs in the local sandbox and only the produced assets cross the wire; the Netlify MCP fallback is demoted because it does consume build minutes.</w:t>
      </w:r>
      <w:r>
        <w:rPr>
          <w:rStyle w:val="FootnoteReference"/>
        </w:rPr>
        <w:footnoteReference w:id="182"/>
      </w:r>
      <w:r>
        <w:t xml:space="preserve"> </w:t>
      </w:r>
      <w:r>
        <w:t xml:space="preserve">Under normal operation, the deploy phase lands at zero marginal hosting cost on the free tier. The honest hedge is the credit-block pattern: when account credits exhaust, the free-tier ceiling reasserts itself as an HTTP 403 carrying the body “Account credit usage exceeded,” and three sequential credit-block events on May 7, 2026, at 18:41Z, 19:11Z, and 19:42Z tripped the dispatcher’s three-strike guard, which skips the fast-deploy POST until human action restores credits or upgrades the tier.</w:t>
      </w:r>
      <w:r>
        <w:rPr>
          <w:rStyle w:val="FootnoteReference"/>
        </w:rPr>
        <w:footnoteReference w:id="183"/>
      </w:r>
    </w:p>
    <w:bookmarkEnd w:id="184"/>
    <w:bookmarkStart w:id="188" w:name="X7992617c36e87605d3ed9347df6d05e52f24c81"/>
    <w:p>
      <w:pPr>
        <w:pStyle w:val="Heading2"/>
      </w:pPr>
      <w:r>
        <w:t xml:space="preserve">C. What the vault’s run log counts and what it does not</w:t>
      </w:r>
    </w:p>
    <w:p>
      <w:pPr>
        <w:pStyle w:val="FirstParagraph"/>
      </w:pPr>
      <w:r>
        <w:t xml:space="preserve">The vault scheduled task logs one line per run to its run-scores log. Across the snapshot window of April 16 to May 8, 2026 (twenty-two calendar days), the log records 255 runs, distributed by phase as ingest 35, enrich 24, expand 29, synthesize 30, lint 34, verify 34, consolidate 10, and deploy 59.</w:t>
      </w:r>
      <w:r>
        <w:rPr>
          <w:rStyle w:val="FootnoteReference"/>
        </w:rPr>
        <w:footnoteReference w:id="185"/>
      </w:r>
      <w:r>
        <w:t xml:space="preserve"> </w:t>
      </w:r>
      <w:r>
        <w:t xml:space="preserve">The deliverable at the end of the window is 198 pages at approximately ninety-two percent coverage of the doctrinal scope: 92 case briefs, 27 doctrinal topic pages, and 79 lecture summaries.</w:t>
      </w:r>
      <w:r>
        <w:rPr>
          <w:rStyle w:val="FootnoteReference"/>
        </w:rPr>
        <w:footnoteReference w:id="186"/>
      </w:r>
      <w:r>
        <w:t xml:space="preserve"> </w:t>
      </w:r>
      <w:r>
        <w:t xml:space="preserve">The log does not record the cost most readers want to see: only six of the 255 runs carry a wall-clock field, and none carry token counts or a price. Section IX therefore reports no compute-hours and no dollar figure, and frames the absence as a structural property of the logging system rather than a defect to be repaired.</w:t>
      </w:r>
      <w:r>
        <w:rPr>
          <w:rStyle w:val="FootnoteReference"/>
        </w:rPr>
        <w:footnoteReference w:id="187"/>
      </w:r>
    </w:p>
    <w:bookmarkEnd w:id="188"/>
    <w:bookmarkStart w:id="191" w:name="Xd992c0671c15a04b44a62e2ca9aaa46fb024920"/>
    <w:p>
      <w:pPr>
        <w:pStyle w:val="Heading2"/>
      </w:pPr>
      <w:r>
        <w:t xml:space="preserve">D. Per-tick token-economy: tiered loading and per-phase rubric</w:t>
      </w:r>
    </w:p>
    <w:p>
      <w:pPr>
        <w:pStyle w:val="FirstParagraph"/>
      </w:pPr>
      <w:r>
        <w:t xml:space="preserve">The controlling per-tick token-economy mechanism is tiered context loading. Every scheduled-task run loads the project primer, the state file, and the runbook section for the current phase as Tier 1, and the current phase’s rubric, the lessons file, the current month’s build narrative, and the personas file for the adversarial review pass only as Tier 2; other rubrics and archived narratives are not loaded.</w:t>
      </w:r>
      <w:r>
        <w:rPr>
          <w:rStyle w:val="FootnoteReference"/>
        </w:rPr>
        <w:footnoteReference w:id="189"/>
      </w:r>
      <w:r>
        <w:t xml:space="preserve"> </w:t>
      </w:r>
      <w:r>
        <w:t xml:space="preserve">The cross-rubric-reading prohibition is explicit, because cross-rubric loading creates conflicting incentives. The load policy makes one tick of one phase a predictable unit of work, but the predictability does not become a token bill without instrumentation neither scheduled task carries.</w:t>
      </w:r>
      <w:r>
        <w:rPr>
          <w:rStyle w:val="FootnoteReference"/>
        </w:rPr>
        <w:footnoteReference w:id="190"/>
      </w:r>
    </w:p>
    <w:bookmarkEnd w:id="191"/>
    <w:bookmarkStart w:id="196" w:name="X21efc3bb27a820eae91a646a27b0f3913e1ad30"/>
    <w:p>
      <w:pPr>
        <w:pStyle w:val="Heading2"/>
      </w:pPr>
      <w:r>
        <w:t xml:space="preserve">E. The master table, the downstream consumers, and what is still open</w:t>
      </w:r>
    </w:p>
    <w:p>
      <w:pPr>
        <w:pStyle w:val="FirstParagraph"/>
      </w:pPr>
      <w:r>
        <w:t xml:space="preserve">The four labor categories map cleanly to the vault’s own phases.</w:t>
      </w:r>
      <w:r>
        <w:rPr>
          <w:rStyle w:val="FootnoteReference"/>
        </w:rPr>
        <w:footnoteReference w:id="192"/>
      </w:r>
      <w:r>
        <w:t xml:space="preserve"> </w:t>
      </w:r>
      <w:r>
        <w:t xml:space="preserve">Ingest maps to the vault Ingest phase. Prompt tuning maps to the per-tick rubric-and-lessons work the author performs offline, plus the synthesize and consolidate phases that build each iteration’s prompt commitments. Review maps to the per-tick scorecard reads, the periodic lessons-consolidation sweep, and the vault’s verify phase. Debugging maps to the per-tick pending-issue resolution work and the multi-tick pending-issue lifecycle the scheduled task carries across rotations.</w:t>
      </w:r>
    </w:p>
    <w:p>
      <w:pPr>
        <w:pStyle w:val="BodyText"/>
      </w:pPr>
      <w:r>
        <w:rPr>
          <w:b/>
          <w:bCs/>
        </w:rPr>
        <w:t xml:space="preserve">Table 9.1. Vault-construction ticks by phase, April 16 to May 8, 2026</w:t>
      </w:r>
      <w:r>
        <w:t xml:space="preserve"> </w:t>
      </w:r>
      <w:r>
        <w:t xml:space="preserve">(source: the vault scheduled task’s run-scores log).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jc w:val="right"/>
            </w:pPr>
            <w:r>
              <w:t xml:space="preserve">Ticks</w:t>
            </w:r>
          </w:p>
        </w:tc>
      </w:tr>
      <w:tr>
        <w:tc>
          <w:tcPr/>
          <w:p>
            <w:pPr>
              <w:pStyle w:val="Compact"/>
            </w:pPr>
            <w:r>
              <w:t xml:space="preserve">Ingest</w:t>
            </w:r>
          </w:p>
        </w:tc>
        <w:tc>
          <w:tcPr/>
          <w:p>
            <w:pPr>
              <w:pStyle w:val="Compact"/>
              <w:jc w:val="right"/>
            </w:pPr>
            <w:r>
              <w:t xml:space="preserve">35</w:t>
            </w:r>
          </w:p>
        </w:tc>
      </w:tr>
      <w:tr>
        <w:tc>
          <w:tcPr/>
          <w:p>
            <w:pPr>
              <w:pStyle w:val="Compact"/>
            </w:pPr>
            <w:r>
              <w:t xml:space="preserve">Enrich</w:t>
            </w:r>
          </w:p>
        </w:tc>
        <w:tc>
          <w:tcPr/>
          <w:p>
            <w:pPr>
              <w:pStyle w:val="Compact"/>
              <w:jc w:val="right"/>
            </w:pPr>
            <w:r>
              <w:t xml:space="preserve">24</w:t>
            </w:r>
          </w:p>
        </w:tc>
      </w:tr>
      <w:tr>
        <w:tc>
          <w:tcPr/>
          <w:p>
            <w:pPr>
              <w:pStyle w:val="Compact"/>
            </w:pPr>
            <w:r>
              <w:t xml:space="preserve">Expand</w:t>
            </w:r>
          </w:p>
        </w:tc>
        <w:tc>
          <w:tcPr/>
          <w:p>
            <w:pPr>
              <w:pStyle w:val="Compact"/>
              <w:jc w:val="right"/>
            </w:pPr>
            <w:r>
              <w:t xml:space="preserve">29</w:t>
            </w:r>
          </w:p>
        </w:tc>
      </w:tr>
      <w:tr>
        <w:tc>
          <w:tcPr/>
          <w:p>
            <w:pPr>
              <w:pStyle w:val="Compact"/>
            </w:pPr>
            <w:r>
              <w:t xml:space="preserve">Synthesize</w:t>
            </w:r>
          </w:p>
        </w:tc>
        <w:tc>
          <w:tcPr/>
          <w:p>
            <w:pPr>
              <w:pStyle w:val="Compact"/>
              <w:jc w:val="right"/>
            </w:pPr>
            <w:r>
              <w:t xml:space="preserve">30</w:t>
            </w:r>
          </w:p>
        </w:tc>
      </w:tr>
      <w:tr>
        <w:tc>
          <w:tcPr/>
          <w:p>
            <w:pPr>
              <w:pStyle w:val="Compact"/>
            </w:pPr>
            <w:r>
              <w:t xml:space="preserve">Lint</w:t>
            </w:r>
          </w:p>
        </w:tc>
        <w:tc>
          <w:tcPr/>
          <w:p>
            <w:pPr>
              <w:pStyle w:val="Compact"/>
              <w:jc w:val="right"/>
            </w:pPr>
            <w:r>
              <w:t xml:space="preserve">34</w:t>
            </w:r>
          </w:p>
        </w:tc>
      </w:tr>
      <w:tr>
        <w:tc>
          <w:tcPr/>
          <w:p>
            <w:pPr>
              <w:pStyle w:val="Compact"/>
            </w:pPr>
            <w:r>
              <w:t xml:space="preserve">Verify</w:t>
            </w:r>
          </w:p>
        </w:tc>
        <w:tc>
          <w:tcPr/>
          <w:p>
            <w:pPr>
              <w:pStyle w:val="Compact"/>
              <w:jc w:val="right"/>
            </w:pPr>
            <w:r>
              <w:t xml:space="preserve">34</w:t>
            </w:r>
          </w:p>
        </w:tc>
      </w:tr>
      <w:tr>
        <w:tc>
          <w:tcPr/>
          <w:p>
            <w:pPr>
              <w:pStyle w:val="Compact"/>
            </w:pPr>
            <w:r>
              <w:t xml:space="preserve">Consolidate</w:t>
            </w:r>
          </w:p>
        </w:tc>
        <w:tc>
          <w:tcPr/>
          <w:p>
            <w:pPr>
              <w:pStyle w:val="Compact"/>
              <w:jc w:val="right"/>
            </w:pPr>
            <w:r>
              <w:t xml:space="preserve">10</w:t>
            </w:r>
          </w:p>
        </w:tc>
      </w:tr>
      <w:tr>
        <w:tc>
          <w:tcPr/>
          <w:p>
            <w:pPr>
              <w:pStyle w:val="Compact"/>
            </w:pPr>
            <w:r>
              <w:t xml:space="preserve">Deploy</w:t>
            </w:r>
          </w:p>
        </w:tc>
        <w:tc>
          <w:tcPr/>
          <w:p>
            <w:pPr>
              <w:pStyle w:val="Compact"/>
              <w:jc w:val="right"/>
            </w:pPr>
            <w:r>
              <w:t xml:space="preserve">59</w:t>
            </w:r>
          </w:p>
        </w:tc>
      </w:tr>
      <w:tr>
        <w:tc>
          <w:tcPr/>
          <w:p>
            <w:pPr>
              <w:pStyle w:val="Compact"/>
            </w:pPr>
            <w:r>
              <w:rPr>
                <w:b/>
                <w:bCs/>
              </w:rPr>
              <w:t xml:space="preserve">Total</w:t>
            </w:r>
          </w:p>
        </w:tc>
        <w:tc>
          <w:tcPr/>
          <w:p>
            <w:pPr>
              <w:pStyle w:val="Compact"/>
              <w:jc w:val="right"/>
            </w:pPr>
            <w:r>
              <w:rPr>
                <w:b/>
                <w:bCs/>
              </w:rPr>
              <w:t xml:space="preserve">255</w:t>
            </w:r>
          </w:p>
        </w:tc>
      </w:tr>
    </w:tbl>
    <w:p>
      <w:pPr>
        <w:pStyle w:val="BodyText"/>
      </w:pPr>
      <w:r>
        <w:t xml:space="preserve">The deploy row is the honest outlier: a substantial fraction of the fifty-nine deploy ticks were absorbed by the credit-block pattern named at IX.B, an expense the run log records and an email estimate would have hidden.</w:t>
      </w:r>
      <w:r>
        <w:rPr>
          <w:rStyle w:val="FootnoteReference"/>
        </w:rPr>
        <w:footnoteReference w:id="193"/>
      </w:r>
      <w:r>
        <w:t xml:space="preserve"> </w:t>
      </w:r>
      <w:r>
        <w:t xml:space="preserve">Three downstream cost-line consumers forward-reference this owning table: Section IV’s ingest line, Section VIII’s deploy line, and Section VII’s iteration line.</w:t>
      </w:r>
      <w:r>
        <w:rPr>
          <w:rStyle w:val="FootnoteReference"/>
        </w:rPr>
        <w:footnoteReference w:id="194"/>
      </w:r>
      <w:r>
        <w:t xml:space="preserve"> </w:t>
      </w:r>
      <w:r>
        <w:t xml:space="preserve">The master table delivers the column the run log instruments; two omissions are scope rather than items owed. Per-tick token-level model spend is not recorded, and a person-hours backfill across the four labor categories is not loggable by a system that records only its own runs.</w:t>
      </w:r>
      <w:r>
        <w:rPr>
          <w:rStyle w:val="FootnoteReference"/>
        </w:rPr>
        <w:footnoteReference w:id="195"/>
      </w:r>
      <w:r>
        <w:t xml:space="preserve"> </w:t>
      </w:r>
      <w:r>
        <w:t xml:space="preserve">External pricing lookups for Netlify and metered MCP services remain deferred to a later Cite pass.</w:t>
      </w:r>
    </w:p>
    <w:bookmarkEnd w:id="196"/>
    <w:bookmarkEnd w:id="197"/>
    <w:bookmarkStart w:id="220" w:name="X3747b8c137410eeb46108e8c04843f78dc43c66"/>
    <w:p>
      <w:pPr>
        <w:pStyle w:val="Heading1"/>
      </w:pPr>
      <w:r>
        <w:t xml:space="preserve">X. Generalization Beyond Constitutional Law</w:t>
      </w:r>
    </w:p>
    <w:bookmarkStart w:id="201" w:name="a.-the-case-study-as-an-instance"/>
    <w:p>
      <w:pPr>
        <w:pStyle w:val="Heading2"/>
      </w:pPr>
      <w:r>
        <w:t xml:space="preserve">A. The case study as an instance</w:t>
      </w:r>
    </w:p>
    <w:p>
      <w:pPr>
        <w:pStyle w:val="FirstParagraph"/>
      </w:pPr>
      <w:r>
        <w:t xml:space="preserve">The constitutional-law knowledge system this article has described is one instance of a method, and the method is the part meant to travel.</w:t>
      </w:r>
      <w:r>
        <w:rPr>
          <w:rStyle w:val="FootnoteReference"/>
        </w:rPr>
        <w:footnoteReference w:id="198"/>
      </w:r>
      <w:r>
        <w:t xml:space="preserve"> </w:t>
      </w:r>
      <w:r>
        <w:t xml:space="preserve">The case study is bounded on purpose: a single professor’s Constitutional Law I course, taught in a single semester, covering the structural constitution rather than the full subject.</w:t>
      </w:r>
      <w:r>
        <w:rPr>
          <w:rStyle w:val="FootnoteReference"/>
        </w:rPr>
        <w:footnoteReference w:id="199"/>
      </w:r>
      <w:r>
        <w:t xml:space="preserve"> </w:t>
      </w:r>
      <w:r>
        <w:t xml:space="preserve">This section separates what would carry to another doctrinal course from what would not. The claim is not that every law-school course should become a vault. It is narrower. A course built around decided cases and the doctrines they generate has an archive shaped much like the one described here. The same method can convert that archive into a course knowledge system that students browse and that a successor instructor can inherit and extend. In any course, that browsable system reaches only students who have web access, a usable device, and the digital fluency to navigate it, a precondition Section XII takes up rather than one this section resolves. Stated as a method rather than as a finished artifact, the contribution is reusable in a way a single website is not: a method can be run again on a different corpus, while a finished site can only be admired or copied. The legal-education reform canon treats teaching method, not any single course’s finished materials, as the unit of pedagogical contribution capable of traveling across doctrinal courses.</w:t>
      </w:r>
      <w:r>
        <w:rPr>
          <w:rStyle w:val="FootnoteReference"/>
        </w:rPr>
        <w:footnoteReference w:id="200"/>
      </w:r>
    </w:p>
    <w:bookmarkEnd w:id="201"/>
    <w:bookmarkStart w:id="208" w:name="Xa123e3c4683d3b1efe32852d45535a8420740b4"/>
    <w:p>
      <w:pPr>
        <w:pStyle w:val="Heading2"/>
      </w:pPr>
      <w:r>
        <w:t xml:space="preserve">B. What transfers is the structure, not the content</w:t>
      </w:r>
    </w:p>
    <w:p>
      <w:pPr>
        <w:pStyle w:val="FirstParagraph"/>
      </w:pPr>
      <w:r>
        <w:t xml:space="preserve">What is most likely to generalize is the shape of the schema, subject to the limits set out in subsection D. The vault sorts its content into three kinds of page, one for a decided case, one for a doctrine, and one for a class session, and those three units recur across the standard 1L case-method curriculum and, by the standard brief form, in case-method doctrinal courses generally.</w:t>
      </w:r>
      <w:r>
        <w:rPr>
          <w:rStyle w:val="FootnoteReference"/>
        </w:rPr>
        <w:footnoteReference w:id="202"/>
      </w:r>
      <w:r>
        <w:t xml:space="preserve"> </w:t>
      </w:r>
      <w:r>
        <w:t xml:space="preserve">The nine-section case brief the vault enforces is the standard law-school brief rather than a constitutional-law artifact; a torts or contracts course briefs its cases in the same Facts, Holding, and Analysis shape that the 1L case-method curriculum trains students to read and produce.</w:t>
      </w:r>
      <w:r>
        <w:rPr>
          <w:rStyle w:val="FootnoteReference"/>
        </w:rPr>
        <w:footnoteReference w:id="203"/>
      </w:r>
      <w:r>
        <w:rPr>
          <w:rStyle w:val="FootnoteReference"/>
        </w:rPr>
        <w:footnoteReference w:id="204"/>
      </w:r>
      <w:r>
        <w:t xml:space="preserve"> </w:t>
      </w:r>
      <w:r>
        <w:t xml:space="preserve">The typed frontmatter that makes each page machine-readable is likewise course-agnostic in form.</w:t>
      </w:r>
      <w:r>
        <w:rPr>
          <w:rStyle w:val="FootnoteReference"/>
        </w:rPr>
        <w:footnoteReference w:id="205"/>
      </w:r>
      <w:r>
        <w:t xml:space="preserve"> </w:t>
      </w:r>
      <w:r>
        <w:t xml:space="preserve">Only the values are particular. The field that sorts each case into one of four doctrinal families is filled with constitutional-law families, and a torts vault would name negligence, intentional torts, and strict liability in their place.</w:t>
      </w:r>
      <w:r>
        <w:rPr>
          <w:rStyle w:val="FootnoteReference"/>
        </w:rPr>
        <w:footnoteReference w:id="206"/>
      </w:r>
      <w:r>
        <w:t xml:space="preserve"> </w:t>
      </w:r>
      <w:r>
        <w:t xml:space="preserve">The synthesis layer generalizes in the same way. A doctrine page that gathers every case and class session touching a single doctrine into one governing-rule-and-development narrative is a form that any doctrinal course needs, even though the doctrines it gathers differ from course to course.</w:t>
      </w:r>
      <w:r>
        <w:rPr>
          <w:rStyle w:val="FootnoteReference"/>
        </w:rPr>
        <w:footnoteReference w:id="207"/>
      </w:r>
      <w:r>
        <w:t xml:space="preserve"> </w:t>
      </w:r>
      <w:r>
        <w:t xml:space="preserve">The transferable insight is that a typed schema does navigation and retrieval work that flat prose cannot; the constitutional-law value set is the part another course would replace rather than reuse.</w:t>
      </w:r>
    </w:p>
    <w:bookmarkEnd w:id="208"/>
    <w:bookmarkStart w:id="214" w:name="X3783e91f6bde0a36ab6d444fb886e5d9bf90172"/>
    <w:p>
      <w:pPr>
        <w:pStyle w:val="Heading2"/>
      </w:pPr>
      <w:r>
        <w:t xml:space="preserve">C. What transfers is the loop and its discipline</w:t>
      </w:r>
    </w:p>
    <w:p>
      <w:pPr>
        <w:pStyle w:val="FirstParagraph"/>
      </w:pPr>
      <w:r>
        <w:t xml:space="preserve">The production process generalizes alongside the schema. The six-phase rotation, the lessons file that carries memory between runs, the adversarial review pass that must return a finding, and the checkpoints at which the professor inspects and gates the work are features of the method, not of constitutional law.</w:t>
      </w:r>
      <w:r>
        <w:rPr>
          <w:rStyle w:val="FootnoteReference"/>
        </w:rPr>
        <w:footnoteReference w:id="209"/>
      </w:r>
      <w:r>
        <w:t xml:space="preserve"> </w:t>
      </w:r>
      <w:r>
        <w:t xml:space="preserve">The verified-source discipline transfers with one substitution: a case-law course checks each quotation against the indexed opinion, while a statute-heavy course would need a comparable indexed-source service before it could check against the code and its history.</w:t>
      </w:r>
      <w:r>
        <w:rPr>
          <w:rStyle w:val="FootnoteReference"/>
        </w:rPr>
        <w:footnoteReference w:id="210"/>
      </w:r>
      <w:r>
        <w:t xml:space="preserve"> </w:t>
      </w:r>
      <w:r>
        <w:t xml:space="preserve">What makes the method safe to hand to a different faculty member is that the professor is the designed gating actor at every phase, positioned to review and approve each layer before it reaches a student and able to send any page back for another pass; the May 2026 snapshot pages were published as review-ready rather than as individually professor-approved, and Section VIII names that disclosure at the architectural level.</w:t>
      </w:r>
      <w:r>
        <w:rPr>
          <w:rStyle w:val="FootnoteReference"/>
        </w:rPr>
        <w:footnoteReference w:id="211"/>
      </w:r>
      <w:r>
        <w:t xml:space="preserve"> </w:t>
      </w:r>
      <w:r>
        <w:t xml:space="preserve">That production-loop role is what the method makes reusable; it is not the live teaching, which Section XII counts among the losses. The architectural commitment carries too. The case study is a review-ready static website rather than a chatbot tutor that generates answers for students at the moment they ask, the alternative architecture the curriculum-oriented intelligent-assistant literature has developed for higher-education settings.</w:t>
      </w:r>
      <w:r>
        <w:rPr>
          <w:rStyle w:val="FootnoteReference"/>
        </w:rPr>
        <w:footnoteReference w:id="212"/>
      </w:r>
      <w:r>
        <w:t xml:space="preserve"> </w:t>
      </w:r>
      <w:r>
        <w:t xml:space="preserve">What transfers from that literature to a case-method course is the curriculum-grounding insight that course-specific material should govern the system’s answers; what does not transfer is the conversational, runtime implementation surface the static-website choice replaces with browsable, build-time-inspectable pages on which the professor is the designed reviewer at publication. That choice, together with the risk posture it produces, is available to any course that adopts the method.</w:t>
      </w:r>
      <w:r>
        <w:rPr>
          <w:rStyle w:val="FootnoteReference"/>
        </w:rPr>
        <w:footnoteReference w:id="213"/>
      </w:r>
    </w:p>
    <w:bookmarkEnd w:id="214"/>
    <w:bookmarkStart w:id="217" w:name="d.-the-limits-of-the-claim"/>
    <w:p>
      <w:pPr>
        <w:pStyle w:val="Heading2"/>
      </w:pPr>
      <w:r>
        <w:t xml:space="preserve">D. The limits of the claim</w:t>
      </w:r>
    </w:p>
    <w:p>
      <w:pPr>
        <w:pStyle w:val="FirstParagraph"/>
      </w:pPr>
      <w:r>
        <w:t xml:space="preserve">The claim has edges, and naming them is part of making it honestly. The method assumes a course organized around tagged doctrines and leading cases, where the case is the natural unit and the doctrine is the natural synthesis. A rules-and-procedure course such as Civil Procedure, or a heavily statutory course such as Tax, fits that assumption less cleanly, because the load-bearing unit is a rule or a code section rather than a leading case. The three-folder taxonomy would need re-typing before it could carry the work. Doctrinal courses share a learnable structure of rule, exception, and application,</w:t>
      </w:r>
      <w:r>
        <w:rPr>
          <w:rStyle w:val="FootnoteReference"/>
        </w:rPr>
        <w:footnoteReference w:id="215"/>
      </w:r>
      <w:r>
        <w:t xml:space="preserve"> </w:t>
      </w:r>
      <w:r>
        <w:t xml:space="preserve">but whether that shared structure is enough to carry the method into a procedure or statutory course is exactly what a second instance would test. One limit is firm. What generalizes is the method, not a measured improvement in how students learn, because the article has not run the study that would license a learning-outcomes claim in this course, let alone in another.</w:t>
      </w:r>
      <w:r>
        <w:rPr>
          <w:rStyle w:val="FootnoteReference"/>
        </w:rPr>
        <w:footnoteReference w:id="216"/>
      </w:r>
    </w:p>
    <w:bookmarkEnd w:id="217"/>
    <w:bookmarkStart w:id="219" w:name="e.-from-a-method-to-a-second-instance"/>
    <w:p>
      <w:pPr>
        <w:pStyle w:val="Heading2"/>
      </w:pPr>
      <w:r>
        <w:t xml:space="preserve">E. From a method to a second instance</w:t>
      </w:r>
    </w:p>
    <w:p>
      <w:pPr>
        <w:pStyle w:val="FirstParagraph"/>
      </w:pPr>
      <w:r>
        <w:t xml:space="preserve">The strongest test of a method is whether a second person can run it, and this article reports one instance rather than two. The standard objection is that one instance cannot license a generalization. The bounded answer specifies a minimum viable second instance: a comparable doctrinal course built and reviewed by a different faculty member under the same checkpoints. The generalization claim is therefore an invitation as much as a result. The corpus, the schema, and the rotation are described in enough detail that a colleague teaching a different doctrinal course could attempt the same build and report where it held and where it broke. That invitation raises the question the next section takes up, which is what would count as the method having worked, in this course or in another.</w:t>
      </w:r>
      <w:r>
        <w:rPr>
          <w:rStyle w:val="FootnoteReference"/>
        </w:rPr>
        <w:footnoteReference w:id="218"/>
      </w:r>
    </w:p>
    <w:bookmarkEnd w:id="219"/>
    <w:bookmarkEnd w:id="220"/>
    <w:bookmarkStart w:id="235" w:name="X6cb5d62fc3fc6a6f95fbe90655cc46e70cdf472"/>
    <w:p>
      <w:pPr>
        <w:pStyle w:val="Heading1"/>
      </w:pPr>
      <w:r>
        <w:t xml:space="preserve">XI. Evaluation: What Would Count as Success</w:t>
      </w:r>
    </w:p>
    <w:bookmarkStart w:id="223" w:name="Xe06f0eff548dd09dfcf666571fcc5785c833cfe"/>
    <w:p>
      <w:pPr>
        <w:pStyle w:val="Heading2"/>
      </w:pPr>
      <w:r>
        <w:t xml:space="preserve">A. The disclaimer that organizes the section</w:t>
      </w:r>
    </w:p>
    <w:p>
      <w:pPr>
        <w:pStyle w:val="FirstParagraph"/>
      </w:pPr>
      <w:r>
        <w:t xml:space="preserve">The article does not claim that students learned more from the case study, that the system produced a treatment effect on student performance, or that any measurable change in exam scores can be attributed to the deployed vault. The thesis is a method contribution, and that disclaimer is load-bearing. Without it in place, the four-instrument plan described below reads as ambition rather than as honest scope, and every methodological objection that the artificial-intelligence-in-higher-education literature has trained itself to raise becomes a fatal objection rather than an anticipated one. This article adopts a method-plus-light-data posture: a method contribution paired with modest, honest evidence proportional to the claim, neither method-only nor a full pilot study. Three considerations justify that posture for a Journal of Legal Education audience: that audience expects evidence proportional to claims; a structured pilot is expensive and risks either underdelivering as research or overshadowing the method; and light usability data is cheap and credible.</w:t>
      </w:r>
      <w:r>
        <w:rPr>
          <w:rStyle w:val="FootnoteReference"/>
        </w:rPr>
        <w:footnoteReference w:id="221"/>
      </w:r>
      <w:r>
        <w:t xml:space="preserve"> </w:t>
      </w:r>
      <w:r>
        <w:t xml:space="preserve">The proportional-rigor posture is itself a legal-education assessment-canon discipline: the canon treats outcomes assessment as structured judgment proportional to teaching purpose rather than as a uniform research bar across artifacts of different kinds.</w:t>
      </w:r>
      <w:r>
        <w:rPr>
          <w:rStyle w:val="FootnoteReference"/>
        </w:rPr>
        <w:footnoteReference w:id="222"/>
      </w:r>
    </w:p>
    <w:bookmarkEnd w:id="223"/>
    <w:bookmarkStart w:id="225" w:name="b.-the-four-instrument-light-data-plan"/>
    <w:p>
      <w:pPr>
        <w:pStyle w:val="Heading2"/>
      </w:pPr>
      <w:r>
        <w:t xml:space="preserve">B. The four-instrument light-data plan</w:t>
      </w:r>
    </w:p>
    <w:p>
      <w:pPr>
        <w:pStyle w:val="FirstParagraph"/>
      </w:pPr>
      <w:r>
        <w:t xml:space="preserve">The plan operationalizes that posture through four instruments, each measuring use patterns or self-report on the review-ready static artifact and none measuring learning outcomes. The first instrument is a short anonymous end-of-semester survey to the current Constitutional Law I cohort, administered through Qualtrics or Google Forms, with five Likert items covering perceived usefulness, navigation, perceived trust, and perceived overreliance, plus two open-ended items. The survey is a perceived-overreliance and perceived-usefulness measure on a review-ready static artifact, not a self-reported learning measure. The second instrument is the deployed site’s PostHog analytics for page-view counts by page type (Case, Topic, or Lecture), search-term distribution, and time on page, all anonymized. The analytics surface a navigation-pattern measure on the deployed site; if the instruments have run by the time this section is finalized, the section reports the modest numbers they produced, and if not, describes the plan only. The third instrument is three to five thirty-minute think-aloud sessions with volunteer students preparing for the exam, in which a student is asked to find an answer to a doctrinal question using the site while a researcher observes and records click sequences, search terms, and verbalized confusion points. The fourth element is not a fifth instrument but the disciplinary commitment that frames the entire data slice as usability and use-pattern data rather than as learning-outcomes data. The section keeps its evaluation vocabulary anchored on navigation, page-view distribution, time on page, perceived usefulness, perceived trust, perceived overreliance, click sequences, and verbalized use strategies. It does not import response-quality, conversational-coherence, tutor-accuracy, or engagement-turns vocabulary from the chatbot-tutor evaluation literature, because the artifact under evaluation here is a review-ready static website and the right measures must match the object being measured.</w:t>
      </w:r>
      <w:r>
        <w:rPr>
          <w:rStyle w:val="FootnoteReference"/>
        </w:rPr>
        <w:footnoteReference w:id="224"/>
      </w:r>
    </w:p>
    <w:p>
      <w:pPr>
        <w:pStyle w:val="BodyText"/>
      </w:pPr>
      <w:r>
        <w:t xml:space="preserve">The plan’s limits deserve as plain a statement as its instruments. Each measures use of the artifact in isolation, so none asks whether the site changes a student’s preparation for live Socratic class, affects in-class engagement, or displaces the close casebook reading the method supports rather than replaces. The plan also sets no comparison against casebook-and-Socratic instruction, so it can describe how students use the artifact but not whether the system helps relative to it. Its instruments are moreover blind to non-use, since site analytics cannot see a student who never visits and an anonymous survey reaches only those who answer, leaving the access and equity limit that Section X raises and Section XII develops outside this design. The instruments are named here as design intent; their validity, sampling frame, and analysis plan are owed before they run, and the section claims alignment with the field’s call for rigor as an aim, not as completed work.</w:t>
      </w:r>
    </w:p>
    <w:bookmarkEnd w:id="225"/>
    <w:bookmarkStart w:id="227" w:name="Xc85b89bca070a8066e8fa706f305404fba27f37"/>
    <w:p>
      <w:pPr>
        <w:pStyle w:val="Heading2"/>
      </w:pPr>
      <w:r>
        <w:t xml:space="preserve">C. The field-level frame: Bond and the anticipation move</w:t>
      </w:r>
    </w:p>
    <w:p>
      <w:pPr>
        <w:pStyle w:val="FirstParagraph"/>
      </w:pPr>
      <w:r>
        <w:t xml:space="preserve">Bond and colleagues’ 2024 meta-systematic review of sixty-six artificial-intelligence-in-higher-education publications, published as article 4 of volume 21 of the International Journal of Educational Technology in Higher Education, concludes that the field needs more methodological and ethical rigor.</w:t>
      </w:r>
      <w:r>
        <w:rPr>
          <w:rStyle w:val="FootnoteReference"/>
        </w:rPr>
        <w:footnoteReference w:id="226"/>
      </w:r>
      <w:r>
        <w:t xml:space="preserve"> </w:t>
      </w:r>
      <w:r>
        <w:t xml:space="preserve">The section deploys that conclusion as the field-level frame this article’s posture explicitly anticipates: the disclaimer at Section XI.A and the routing of substantive risk to Section XII together place the article inside the field’s own self-critique rather than against it. What generalizes from the cited corpus to this article is the field-level call for proportional rigor; what does not transfer is the implementation surface, because Bond’s sixty-six-publication corpus is built predominantly on adaptive and interactive interventions, chiefly adaptive systems and personalization but also intelligent tutoring systems and chatbots, while this article studies use patterns on a review-ready static website.</w:t>
      </w:r>
    </w:p>
    <w:bookmarkEnd w:id="227"/>
    <w:bookmarkStart w:id="231" w:name="Xadb3f5373ed6c86646cfc098cc5b687ff8f601f"/>
    <w:p>
      <w:pPr>
        <w:pStyle w:val="Heading2"/>
      </w:pPr>
      <w:r>
        <w:t xml:space="preserve">D. Proportional rigor as a JLE precedent and artifact-dependent success</w:t>
      </w:r>
    </w:p>
    <w:p>
      <w:pPr>
        <w:pStyle w:val="FirstParagraph"/>
      </w:pPr>
      <w:r>
        <w:t xml:space="preserve">Choi and Schwarcz’s 2025 study in the seventy-third volume of this Journal at page 384, finding that generative-AI assistance helps weaker law-school exam takers more than stronger ones with a potential equalizing effect, is a recent demonstration in this Journal’s own pages that meaningful empirical work on artificial intelligence and law-school learning does not require a full randomized controlled trial.</w:t>
      </w:r>
      <w:r>
        <w:rPr>
          <w:rStyle w:val="FootnoteReference"/>
        </w:rPr>
        <w:footnoteReference w:id="228"/>
      </w:r>
      <w:r>
        <w:t xml:space="preserve"> </w:t>
      </w:r>
      <w:r>
        <w:t xml:space="preserve">The method-plus-light-data posture matches that bar rather than asking the venue to accept a method paper with no data. What generalizes from Choi and Schwarcz to this article is the proposition that publishable empirical work in this Journal’s house is achievable at proportional rigor; what does not transfer is the implementation surface, because their intervention is an LLM-assisted exam-answer task and this article’s evaluation is a use-pattern study of a review-ready static website. The companion precedent at the evaluation altitude is Sajja and colleagues’ platform-independent curriculum-grounded chatbot tutor, whose evaluation measures response quality, curriculum grounding of answers, and platform independence.</w:t>
      </w:r>
      <w:r>
        <w:rPr>
          <w:rStyle w:val="FootnoteReference"/>
        </w:rPr>
        <w:footnoteReference w:id="229"/>
      </w:r>
      <w:r>
        <w:t xml:space="preserve"> </w:t>
      </w:r>
      <w:r>
        <w:t xml:space="preserve">Those are the right measures for a chatbot-tutor object; the Likert, analytics, and think-aloud measures described at Section XI.B are the right measures for a review-ready static object. The contribution at this altitude is the structural recognition that success measures are artifact-dependent: an evaluation framing must match the object being evaluated.</w:t>
      </w:r>
    </w:p>
    <w:p>
      <w:pPr>
        <w:pStyle w:val="BodyText"/>
      </w:pPr>
      <w:r>
        <w:t xml:space="preserve">Made concrete, the artifact-dependent success criterion is a claim about behavior rather than accuracy. Because the review-ready static website has no runtime generation surface, the organizing question for the four instruments is not the response-quality or answer-accuracy question the chatbot-tutor evaluation literature asks. It is instead whether a student who consults the site verifies a proposition against the primary source the page already cites rather than treating the page as a terminal authority.</w:t>
      </w:r>
      <w:r>
        <w:rPr>
          <w:rStyle w:val="FootnoteReference"/>
        </w:rPr>
        <w:footnoteReference w:id="230"/>
      </w:r>
      <w:r>
        <w:t xml:space="preserve"> </w:t>
      </w:r>
      <w:r>
        <w:t xml:space="preserve">The reliability ceiling that Section XII documents at length is the reason the survey’s load-bearing items are perceived overreliance and perceived trust rather than self-reported comprehension. It is also why the think-aloud sessions observe whether a student who has found a doctrinal answer on the site moves to confirm it against the cited opinion or stops at the page. Success, on this account, is a navigation-and-verification pattern: a student locates the doctrine the course requires and carries the habit of checking it against the source the page names. The criterion stays modest and artifact-matched, and the substantive treatment of overreliance and hallucination remains with Section XII.</w:t>
      </w:r>
    </w:p>
    <w:bookmarkEnd w:id="231"/>
    <w:bookmarkStart w:id="234" w:name="X2b944a101fd025356e8b32309307bfdc911e039"/>
    <w:p>
      <w:pPr>
        <w:pStyle w:val="Heading2"/>
      </w:pPr>
      <w:r>
        <w:t xml:space="preserve">E. What is open and the handoff to Section XII</w:t>
      </w:r>
    </w:p>
    <w:p>
      <w:pPr>
        <w:pStyle w:val="FirstParagraph"/>
      </w:pPr>
      <w:r>
        <w:t xml:space="preserve">Two questions the section carries honestly because it cannot resolve them unilaterally are the labeling fork and the data-collection-status fork. The labeling fork requires the professor and the law school’s Institutional Review Board administrator to agree jointly on how to classify the light-data work. If they classify it as human-subjects research, it runs through the Board as exempt or expedited and this section labels it as research with the approval number in a footnote; if they classify it as student-experience feedback under the law school’s own feedback policies, the section labels it as feedback rather than as research results. The data-collection-status fork is whether the four instruments have been executed by the time this section is finalized; if they have, the section reports the plan and the modest data slice, and if not, the section describes the plan only, mirroring the snapshot-disclosure paragraph Section IV.E adopted.</w:t>
      </w:r>
      <w:r>
        <w:rPr>
          <w:rStyle w:val="FootnoteReference"/>
        </w:rPr>
        <w:footnoteReference w:id="232"/>
      </w:r>
      <w:r>
        <w:t xml:space="preserve"> </w:t>
      </w:r>
      <w:r>
        <w:t xml:space="preserve">Substantive treatment of overreliance, hallucination, and reviewer-time burden hands off to Section XII (Risks and Limits), and any cost or throughput figure bearing on the evaluation argument routes to Section IX’s master cost and labor table per the article’s single-owner-section convention.</w:t>
      </w:r>
      <w:r>
        <w:rPr>
          <w:rStyle w:val="FootnoteReference"/>
        </w:rPr>
        <w:footnoteReference w:id="233"/>
      </w:r>
    </w:p>
    <w:bookmarkEnd w:id="234"/>
    <w:bookmarkEnd w:id="235"/>
    <w:bookmarkStart w:id="257" w:name="xii.-risks-and-limits"/>
    <w:p>
      <w:pPr>
        <w:pStyle w:val="Heading1"/>
      </w:pPr>
      <w:r>
        <w:t xml:space="preserve">XII. Risks and Limits</w:t>
      </w:r>
    </w:p>
    <w:bookmarkStart w:id="240" w:name="X0148ad058d37f10cd59e40f0861b85526b6d0d9"/>
    <w:p>
      <w:pPr>
        <w:pStyle w:val="Heading2"/>
      </w:pPr>
      <w:r>
        <w:t xml:space="preserve">A. Hallucination and its practitioner-side consequence</w:t>
      </w:r>
    </w:p>
    <w:p>
      <w:pPr>
        <w:pStyle w:val="FirstParagraph"/>
      </w:pPr>
      <w:r>
        <w:t xml:space="preserve">Magesh and colleagues report that the leading commercial legal research tools, Lexis+ AI, Westlaw AI-Assisted Research, and Ask Practical Law AI, hallucinate citations at rates between seventeen and thirty-three percent.</w:t>
      </w:r>
      <w:r>
        <w:rPr>
          <w:rStyle w:val="FootnoteReference"/>
        </w:rPr>
        <w:footnoteReference w:id="236"/>
      </w:r>
      <w:r>
        <w:t xml:space="preserve"> </w:t>
      </w:r>
      <w:r>
        <w:t xml:space="preserve">The finding matters because those products are well-curated retrieval systems built for legal work, not consumer chatbots. Each of the three is retrieval-augmented, grounding its output against a proprietary corpus of cases and treatises, and the fabrication persisted despite that grounding.</w:t>
      </w:r>
      <w:r>
        <w:rPr>
          <w:rStyle w:val="FootnoteReference"/>
        </w:rPr>
        <w:footnoteReference w:id="237"/>
      </w:r>
      <w:r>
        <w:t xml:space="preserve"> </w:t>
      </w:r>
      <w:r>
        <w:t xml:space="preserve">The course knowledge system makes no claim that the generative models beneath it are more reliable. Retrieval grounding did not prevent the failure in the systems Magesh measured, so the safety argument that follows rests on where generation is reviewed rather than on the model. For a course knowledge system built on the same class of models, that result sets the design problem: not how to find a model that never fabricates, but how to arrange the work so fabrication is caught before a student ever sees it. Runtime generation against even a curated corpus produces fabricated citations at rates incompatible with responsible practice, and a review-ready static website has no such runtime surface.</w:t>
      </w:r>
    </w:p>
    <w:p>
      <w:pPr>
        <w:pStyle w:val="BodyText"/>
      </w:pPr>
      <w:r>
        <w:rPr>
          <w:i/>
          <w:iCs/>
        </w:rPr>
        <w:t xml:space="preserve">Mata v. Avianca</w:t>
      </w:r>
      <w:r>
        <w:t xml:space="preserve"> </w:t>
      </w:r>
      <w:r>
        <w:t xml:space="preserve">supplies the practitioner-side consequence, a federal court imposing Rule 11 sanctions on an attorney who filed a brief containing six fabricated cases produced by a chatbot.</w:t>
      </w:r>
      <w:r>
        <w:rPr>
          <w:rStyle w:val="FootnoteReference"/>
        </w:rPr>
        <w:footnoteReference w:id="238"/>
      </w:r>
      <w:r>
        <w:t xml:space="preserve"> </w:t>
      </w:r>
      <w:r>
        <w:t xml:space="preserve">The sanction fell not because the tool erred but because counsel did not check, and the attorneys stood by the fabricated opinions even after the court questioned them.</w:t>
      </w:r>
      <w:r>
        <w:rPr>
          <w:rStyle w:val="FootnoteReference"/>
        </w:rPr>
        <w:footnoteReference w:id="239"/>
      </w:r>
      <w:r>
        <w:t xml:space="preserve"> </w:t>
      </w:r>
      <w:r>
        <w:t xml:space="preserve">The pedagogical reading carries here: a student who internalizes a no-verify habit through AI tools will carry it into practice. A course knowledge system that models verification at the case-brief level is one design response. Whether it changes student habits is the learning-outcomes question Section XI declines to answer.</w:t>
      </w:r>
    </w:p>
    <w:bookmarkEnd w:id="240"/>
    <w:bookmarkStart w:id="244" w:name="b.-the-architectural-contrast"/>
    <w:p>
      <w:pPr>
        <w:pStyle w:val="Heading2"/>
      </w:pPr>
      <w:r>
        <w:t xml:space="preserve">B. The architectural contrast</w:t>
      </w:r>
    </w:p>
    <w:p>
      <w:pPr>
        <w:pStyle w:val="FirstParagraph"/>
      </w:pPr>
      <w:r>
        <w:t xml:space="preserve">The course knowledge system’s risk profile differs from the chatbot-tutor alternative not because the system is risk-free but because its risk surface is different in kind and sits elsewhere in the pipeline. A chatbot-tutor of the kind Sajja and colleagues describe generates a response at runtime against a corpus, and the reader sees that generated text without prior review.</w:t>
      </w:r>
      <w:r>
        <w:rPr>
          <w:rStyle w:val="FootnoteReference"/>
        </w:rPr>
        <w:footnoteReference w:id="241"/>
      </w:r>
      <w:r>
        <w:t xml:space="preserve"> </w:t>
      </w:r>
      <w:r>
        <w:t xml:space="preserve">Bond and colleagues’ meta-review codes that architecture within the broader Intelligent Tutoring Systems and Adaptive Systems and Personalisation categories of its higher-education typology.</w:t>
      </w:r>
      <w:r>
        <w:rPr>
          <w:rStyle w:val="FootnoteReference"/>
        </w:rPr>
        <w:footnoteReference w:id="242"/>
      </w:r>
      <w:r>
        <w:t xml:space="preserve"> </w:t>
      </w:r>
      <w:r>
        <w:t xml:space="preserve">The system instead publishes a review-ready static website, where the professor is the designed gating reviewer at a build-time checkpoint the architecture and the deploy entry guard make possible, even though the May 2026 snapshot pages were published as review-ready drafts and had not been individually professor-approved before going live. The contrast holds along four axes: review timing (build-time inspection versus runtime generation), error surface (an inspected published artifact versus an uninspected response), update mechanism (a re-deploy through the review pipeline versus a re-generation through an uninspected one), and accountability (a page a named professor owns versus a response no one signed). Those four axes contrast two artificial-intelligence architectures; the canonical legal-education baseline against which a reader holds both is a third pole, the case method conducted through live Socratic exchange. A review-ready static website and a chatbot-tutor architecture are interventions adjacent to that baseline rather than substitutes for it.</w:t>
      </w:r>
    </w:p>
    <w:p>
      <w:pPr>
        <w:pStyle w:val="BodyText"/>
      </w:pPr>
      <w:r>
        <w:t xml:space="preserve">Build-time review relocates hallucination risk rather than removing it. It moves the risk from the reader’s runtime to a human review checkpoint at build time, and the article does not measure that reviewer’s catch rate. Where the Magesh study assessed fabrication after deployment, the review applies the same scrutiny before a page ships, on a corpus the professor authored rather than on a vendor’s index. What the four axes describe is therefore a change in where the risk sits and in who can audit it, not a proof that review removes it. The claim is comparative and structural, not a measured reliability rate, and the article runs no controlled comparison between the two architectures. This is the honest core of the safety story: the article can show that errors are caught and corrected in a place open to inspection, yet it cannot put a number on how many errors review lets through. The argument is about auditability, the property that an error in a published page can be found, attributed, and fixed, rather than about a measured error rate the article never gathered.</w:t>
      </w:r>
    </w:p>
    <w:p>
      <w:pPr>
        <w:pStyle w:val="BodyText"/>
      </w:pPr>
      <w:r>
        <w:t xml:space="preserve">Relocating the risk does not dissolve it, and the static architecture carries distinct risks of its own. Rapid review can miss what slower review would catch. The static site cannot anticipate every question a student will bring, a genuine loss the conversational alternative would handle differently. The structure encodes the professor’s judgment about what is doctrinally central, and a student who absorbs that map without contesting it forgoes the live Socratic contest. A ready-made synthesis can also displace the student’s own work of reading and briefing the primary cases.</w:t>
      </w:r>
      <w:r>
        <w:rPr>
          <w:rStyle w:val="FootnoteReference"/>
        </w:rPr>
        <w:footnoteReference w:id="243"/>
      </w:r>
      <w:r>
        <w:t xml:space="preserve"> </w:t>
      </w:r>
      <w:r>
        <w:t xml:space="preserve">Whether students lean on the map rather than build their own is an untested question the static design does not resolve. An error that survives review and ships to a public page is costlier to retract than an ephemeral response. Naming these risks keeps the contrast credible rather than promotional. The chatbot architecture distributes risk across every interaction in ways no one can audit exhaustively, while the static architecture concentrates it where the article can describe, audit, and correct it.</w:t>
      </w:r>
    </w:p>
    <w:bookmarkEnd w:id="244"/>
    <w:bookmarkStart w:id="247" w:name="X6e0b96a71b81c7eae0081d8e5994528f5bcd19e"/>
    <w:p>
      <w:pPr>
        <w:pStyle w:val="Heading2"/>
      </w:pPr>
      <w:r>
        <w:t xml:space="preserve">C. Casebook material and corpus completeness</w:t>
      </w:r>
    </w:p>
    <w:p>
      <w:pPr>
        <w:pStyle w:val="FirstParagraph"/>
      </w:pPr>
      <w:r>
        <w:t xml:space="preserve">The author’s understanding, subject to Professor Chandler’s confirmation, is that the corpus is the professor’s own course materials and that no casebook excerpts were ingested into the vault, so the copyrighted-casebook question this section previously left open is closed at the snapshot level: the public pages work from the professor’s own slides and notes, public judicial opinions, constitutional text, statutes, and original hypotheticals, none of which is casebook prose.</w:t>
      </w:r>
      <w:r>
        <w:rPr>
          <w:rStyle w:val="FootnoteReference"/>
        </w:rPr>
        <w:footnoteReference w:id="245"/>
      </w:r>
      <w:r>
        <w:t xml:space="preserve"> </w:t>
      </w:r>
      <w:r>
        <w:t xml:space="preserve">Were that understanding ever wrong, the following analysis would govern. The forward rule would remain a structural commitment of the same shape, and whether any existing deployed pages currently include casebook quotation that would need removal before the site is offered as a model would be the backward audit that the question contemplates. A related implication concerns curriculum grounding: the article treats structure-aware retrieval from the course corpus as a load-bearing claim, and if the assigned casebook were ever brought into the corpus its license would have to permit such use.</w:t>
      </w:r>
      <w:r>
        <w:rPr>
          <w:rStyle w:val="FootnoteReference"/>
        </w:rPr>
        <w:footnoteReference w:id="246"/>
      </w:r>
      <w:r>
        <w:t xml:space="preserve"> </w:t>
      </w:r>
      <w:r>
        <w:t xml:space="preserve">The honest answer is that the case study’s grounding covers the course-issued layer of slides, indexed opinions, and professor-authored hypotheticals, that the static architecture needs no runtime retrieval against the casebook, and that a future replication could ingest casebook excerpts under a license that permits it.</w:t>
      </w:r>
    </w:p>
    <w:bookmarkEnd w:id="247"/>
    <w:bookmarkStart w:id="251" w:name="Xc07ebf510213d2d64cf7503aeeb01cf40d5ec6f"/>
    <w:p>
      <w:pPr>
        <w:pStyle w:val="Heading2"/>
      </w:pPr>
      <w:r>
        <w:t xml:space="preserve">D. Privacy, third-party-authored content, and the snapshot commitment</w:t>
      </w:r>
    </w:p>
    <w:p>
      <w:pPr>
        <w:pStyle w:val="FirstParagraph"/>
      </w:pPr>
      <w:r>
        <w:t xml:space="preserve">The author’s understanding, subject to Professor Chandler’s confirmation, is that no student assessment, submitted work, office-hours note, or learning-management post was ingested as input to the vault, and the previously-open student-work privacy question resolves to that narrower position. The only third-party-authored content the corpus contains is review-session materials prepared by teaching assistants, which are teaching aids the TAs authored rather than student work, and the consideration they raise is therefore authorship and attribution rather than student-data privacy or FERPA compliance; the materials are integrated into pages whose architecture and review posture remain the professor’s.</w:t>
      </w:r>
      <w:r>
        <w:rPr>
          <w:rStyle w:val="FootnoteReference"/>
        </w:rPr>
        <w:footnoteReference w:id="248"/>
      </w:r>
      <w:r>
        <w:t xml:space="preserve"> </w:t>
      </w:r>
      <w:r>
        <w:t xml:space="preserve">That narrowed position does not zero out the privacy surface, because any future replication that did ingest student work would still require the corresponding privacy infrastructure of FERPA-compliant handling, consent, anonymization, and institutional-review approval where appropriate, and the case study should not be read as licensing such ingestion at adoption time without that infrastructure. The deployed site also presents a use-side privacy surface, because its analytics are configured to respect Do Not Track and to disable session recording, as Section VIII records.</w:t>
      </w:r>
      <w:r>
        <w:rPr>
          <w:rStyle w:val="FootnoteReference"/>
        </w:rPr>
        <w:footnoteReference w:id="249"/>
      </w:r>
      <w:r>
        <w:t xml:space="preserve"> </w:t>
      </w:r>
      <w:r>
        <w:t xml:space="preserve">A further open decision concerns the gap between the site as fixed evidence and as a continuing experiment. The article meets that gap with a tagged source release at the snapshot date, an archive.org capture of the deployed pages, a canonical reference to that tagged version rather than to the live site, and an explicit expectation that the site will keep evolving afterward.</w:t>
      </w:r>
      <w:r>
        <w:rPr>
          <w:rStyle w:val="FootnoteReference"/>
        </w:rPr>
        <w:footnoteReference w:id="250"/>
      </w:r>
    </w:p>
    <w:bookmarkEnd w:id="251"/>
    <w:bookmarkStart w:id="256" w:name="Xe9f9044286d7a6212eb0d28edc0b77c089c5916"/>
    <w:p>
      <w:pPr>
        <w:pStyle w:val="Heading2"/>
      </w:pPr>
      <w:r>
        <w:t xml:space="preserve">E. Equity, accessibility, and the field-level frame</w:t>
      </w:r>
    </w:p>
    <w:p>
      <w:pPr>
        <w:pStyle w:val="FirstParagraph"/>
      </w:pPr>
      <w:r>
        <w:t xml:space="preserve">Equity and accessibility are the part of the risk surface the article discloses rather than claims to solve.</w:t>
      </w:r>
      <w:r>
        <w:rPr>
          <w:rStyle w:val="FootnoteReference"/>
        </w:rPr>
        <w:footnoteReference w:id="252"/>
      </w:r>
      <w:r>
        <w:t xml:space="preserve"> </w:t>
      </w:r>
      <w:r>
        <w:t xml:space="preserve">The deployed single-page application presupposes broadband access and a modern browser; the screen-reader behavior of its hash-route navigation and search palette is an open testing question; the 300-dpi modernized PDFs assume a device that can render them; the Canvas enrollment gate restricts the input corpus to currently enrolled students; and the analytics configuration described above is the disclosed privacy stance.</w:t>
      </w:r>
    </w:p>
    <w:p>
      <w:pPr>
        <w:pStyle w:val="BodyText"/>
      </w:pPr>
      <w:r>
        <w:t xml:space="preserve">Bond and colleagues’ meta-review of sixty-six higher-education studies calls the field to greater ethics and rigor, a critique that reaches any such system, including a review-ready static website.</w:t>
      </w:r>
      <w:r>
        <w:rPr>
          <w:rStyle w:val="FootnoteReference"/>
        </w:rPr>
        <w:footnoteReference w:id="253"/>
      </w:r>
      <w:r>
        <w:t xml:space="preserve"> </w:t>
      </w:r>
      <w:r>
        <w:t xml:space="preserve">The risk surface this article addresses is nonetheless the static artifact’s own, not the adaptive and interactive interventions, chiefly adaptive systems and personalization, that Bond’s corpus predominantly covers.</w:t>
      </w:r>
      <w:r>
        <w:rPr>
          <w:rStyle w:val="FootnoteReference"/>
        </w:rPr>
        <w:footnoteReference w:id="254"/>
      </w:r>
      <w:r>
        <w:t xml:space="preserve"> </w:t>
      </w:r>
      <w:r>
        <w:t xml:space="preserve">That call is three-part, for greater ethics, collaboration, and rigor. A single case study answers it the only way it can: by disclosing its risk surface rather than claiming to have dissolved it, and by labeling its evidence as use-pattern and self-report rather than as measured learning outcomes. That is the posture Section XI adopts and this section inherits.</w:t>
      </w:r>
      <w:r>
        <w:rPr>
          <w:rStyle w:val="FootnoteReference"/>
        </w:rPr>
        <w:footnoteReference w:id="255"/>
      </w:r>
      <w:r>
        <w:t xml:space="preserve"> </w:t>
      </w:r>
      <w:r>
        <w:t xml:space="preserve">Collaboration is the prong a single-author case study can least claim, which is one reason the article offers the method as its replicable contribution rather than the artifact alone.</w:t>
      </w:r>
    </w:p>
    <w:bookmarkEnd w:id="256"/>
    <w:bookmarkEnd w:id="257"/>
    <w:bookmarkStart w:id="273" w:name="xiii.-institutional-implications"/>
    <w:p>
      <w:pPr>
        <w:pStyle w:val="Heading1"/>
      </w:pPr>
      <w:r>
        <w:t xml:space="preserve">XIII. Institutional Implications</w:t>
      </w:r>
    </w:p>
    <w:bookmarkStart w:id="260" w:name="Xcad49e67c7a66d8f8dc540a9dd0f0dd02521fc3"/>
    <w:p>
      <w:pPr>
        <w:pStyle w:val="Heading2"/>
      </w:pPr>
      <w:r>
        <w:t xml:space="preserve">A. The open-educational-resource landscape and complementary positioning</w:t>
      </w:r>
    </w:p>
    <w:p>
      <w:pPr>
        <w:pStyle w:val="FirstParagraph"/>
      </w:pPr>
      <w:r>
        <w:t xml:space="preserve">Legal education already supports open educational resources. The Harvard Law School Library Innovation Lab operates H2O Open Casebooks, the MIT Press and Harvard Law School Library jointly launched an open casebook series built on the H2O platform in 2022, and CALI’s eLangdell Press distributes openly licensed casebooks and course materials.</w:t>
      </w:r>
      <w:r>
        <w:rPr>
          <w:rStyle w:val="FootnoteReference"/>
        </w:rPr>
        <w:footnoteReference w:id="258"/>
      </w:r>
      <w:r>
        <w:t xml:space="preserve"> </w:t>
      </w:r>
      <w:r>
        <w:t xml:space="preserve">A course knowledge system is complementary to that infrastructure rather than a competing channel. The architectural alternative is the runtime AI tutor or adaptive courseware; this method chooses the review-ready static site instead.</w:t>
      </w:r>
      <w:r>
        <w:rPr>
          <w:rStyle w:val="FootnoteReference"/>
        </w:rPr>
        <w:footnoteReference w:id="259"/>
      </w:r>
      <w:r>
        <w:t xml:space="preserve"> </w:t>
      </w:r>
      <w:r>
        <w:t xml:space="preserve">H2O and eLangdell publish the texts, while this method publishes the structure around them: the typed schema, the doctrinal map, the verified-source links, and the navigable course graph. A school that adopts the method adds a structural layer the existing projects do not provide rather than displacing them. The open-resource commitment to reusable, openly licensed materials carries across; the object of publication does not. H2O and eLangdell publish finished casebook texts under license; a course knowledge system publishes structure and links over a professor’s own slides, public opinions, and original hypotheticals.</w:t>
      </w:r>
    </w:p>
    <w:bookmarkEnd w:id="260"/>
    <w:bookmarkStart w:id="263" w:name="X552f45433c36521af736eeb2fd10554e0a814b4"/>
    <w:p>
      <w:pPr>
        <w:pStyle w:val="Heading2"/>
      </w:pPr>
      <w:r>
        <w:t xml:space="preserve">B. Who builds and who sustains: faculty labor and institutional roles</w:t>
      </w:r>
    </w:p>
    <w:p>
      <w:pPr>
        <w:pStyle w:val="FirstParagraph"/>
      </w:pPr>
      <w:r>
        <w:t xml:space="preserve">The method’s labor is professor-led but institutionally supported, and that split is the institutional implication. The cost-and-labor accounting shows that the build is tractable for a single professor working with a scheduled assistant and that deployment runs on near-zero-cost static hosting. The figures live in Section IX rather than here.</w:t>
      </w:r>
      <w:r>
        <w:rPr>
          <w:rStyle w:val="FootnoteReference"/>
        </w:rPr>
        <w:footnoteReference w:id="261"/>
      </w:r>
      <w:r>
        <w:t xml:space="preserve"> </w:t>
      </w:r>
      <w:r>
        <w:t xml:space="preserve">Sustaining the work across a faculty and across course offerings is a different matter, because it implicates roles the individual professor cannot carry alone. The library stewards an open-resource catalog, instructional design partners on the schema and its pedagogy, and information technology hosts and version-controls the build pipeline.</w:t>
      </w:r>
      <w:r>
        <w:rPr>
          <w:rStyle w:val="FootnoteReference"/>
        </w:rPr>
        <w:footnoteReference w:id="262"/>
      </w:r>
      <w:r>
        <w:t xml:space="preserve"> </w:t>
      </w:r>
      <w:r>
        <w:t xml:space="preserve">What this section names is artifact-building labor; teaching with the artifact remains the professor’s classroom craft. A course knowledge system can therefore be read as faculty scholarship of teaching coupled with institutional stewardship, not as an unfunded individual burden.</w:t>
      </w:r>
    </w:p>
    <w:bookmarkEnd w:id="263"/>
    <w:bookmarkStart w:id="268" w:name="c.-governance-control-and-recognition"/>
    <w:p>
      <w:pPr>
        <w:pStyle w:val="Heading2"/>
      </w:pPr>
      <w:r>
        <w:t xml:space="preserve">C. Governance, control, and recognition</w:t>
      </w:r>
    </w:p>
    <w:p>
      <w:pPr>
        <w:pStyle w:val="FirstParagraph"/>
      </w:pPr>
      <w:r>
        <w:t xml:space="preserve">At institutional scale the professor’s role as the designed gating actor becomes an explicit governance question: who is positioned to review each page, who maintains the vault, and who is accountable for the public artifact.</w:t>
      </w:r>
      <w:r>
        <w:rPr>
          <w:rStyle w:val="FootnoteReference"/>
        </w:rPr>
        <w:footnoteReference w:id="264"/>
      </w:r>
      <w:r>
        <w:t xml:space="preserve"> </w:t>
      </w:r>
      <w:r>
        <w:t xml:space="preserve">The review-ready-static-website architecture is what makes the governance posture inspectable. Every page ships from a versioned commit and traces back to a named professor whom the workflow positions as its pre-publication reviewer, even where, as with the May 2026 snapshot pages, that page-by-page professorial review had not been completed before publication. The chain of responsibility runs to a named designed reviewer at a single build-time checkpoint the architecture exposes, in a way a runtime system’s ephemeral generations do not.</w:t>
      </w:r>
      <w:r>
        <w:rPr>
          <w:rStyle w:val="FootnoteReference"/>
        </w:rPr>
        <w:footnoteReference w:id="265"/>
      </w:r>
      <w:r>
        <w:t xml:space="preserve"> </w:t>
      </w:r>
      <w:r>
        <w:t xml:space="preserve">The recognition question follows. Whether a versioned, citable, publicly served course artifact counts as scholarship is itself contested between Boyer’s account, which names teaching as a fourth scholarship alongside discovery, integration, and application, and the research-only conception that still governs most promotion-and-tenure norms.</w:t>
      </w:r>
      <w:r>
        <w:rPr>
          <w:rStyle w:val="FootnoteReference"/>
        </w:rPr>
        <w:footnoteReference w:id="266"/>
      </w:r>
      <w:r>
        <w:t xml:space="preserve"> </w:t>
      </w:r>
      <w:r>
        <w:t xml:space="preserve">The institution must decide whether to treat it as teaching infrastructure or as scholarship for review and promotion under ABA Standard 405.</w:t>
      </w:r>
      <w:r>
        <w:rPr>
          <w:rStyle w:val="FootnoteReference"/>
        </w:rPr>
        <w:footnoteReference w:id="267"/>
      </w:r>
      <w:r>
        <w:t xml:space="preserve"> </w:t>
      </w:r>
      <w:r>
        <w:t xml:space="preserve">That decision stays open, but the inspectable, versioned artifact makes either form of recognition assessable: a reviewer can read what was published and trace who the workflow designates as its responsible reviewer.</w:t>
      </w:r>
    </w:p>
    <w:bookmarkEnd w:id="268"/>
    <w:bookmarkStart w:id="272" w:name="d.-what-the-institution-must-decide"/>
    <w:p>
      <w:pPr>
        <w:pStyle w:val="Heading2"/>
      </w:pPr>
      <w:r>
        <w:t xml:space="preserve">D. What the institution must decide</w:t>
      </w:r>
    </w:p>
    <w:p>
      <w:pPr>
        <w:pStyle w:val="FirstParagraph"/>
      </w:pPr>
      <w:r>
        <w:t xml:space="preserve">Adoption is opt-in and method-first. An institution adopts the method rather than the constitutional-law artifact: the typed schema, the verified-source discipline, the professorial gating, and the phase rotation. This adoption is consistent with the claim that the structure transfers while its constitutional-law content does not.</w:t>
      </w:r>
      <w:r>
        <w:rPr>
          <w:rStyle w:val="FootnoteReference"/>
        </w:rPr>
        <w:footnoteReference w:id="269"/>
      </w:r>
      <w:r>
        <w:t xml:space="preserve"> </w:t>
      </w:r>
      <w:r>
        <w:t xml:space="preserve">The institutional implication is a modest, replicable infrastructure investment offered as an invitation rather than a mandate, subject to a capacity gap in library, instructional-design, and information-technology stewardship that Section XII develops.</w:t>
      </w:r>
      <w:r>
        <w:rPr>
          <w:rStyle w:val="FootnoteReference"/>
        </w:rPr>
        <w:footnoteReference w:id="270"/>
      </w:r>
      <w:r>
        <w:t xml:space="preserve"> </w:t>
      </w:r>
      <w:r>
        <w:t xml:space="preserve">What an institution must decide is whether to extend that invitation, a choice the conclusion takes up.</w:t>
      </w:r>
      <w:r>
        <w:rPr>
          <w:rStyle w:val="FootnoteReference"/>
        </w:rPr>
        <w:footnoteReference w:id="271"/>
      </w:r>
    </w:p>
    <w:bookmarkEnd w:id="272"/>
    <w:bookmarkEnd w:id="273"/>
    <w:bookmarkStart w:id="287" w:name="xiv.-conclusion"/>
    <w:p>
      <w:pPr>
        <w:pStyle w:val="Heading1"/>
      </w:pPr>
      <w:r>
        <w:t xml:space="preserve">XIV. Conclusion</w:t>
      </w:r>
    </w:p>
    <w:bookmarkStart w:id="276" w:name="Xa6dea2e0cd5a4ee5d2f9f3b7dc07221194dd6aa"/>
    <w:p>
      <w:pPr>
        <w:pStyle w:val="Heading2"/>
      </w:pPr>
      <w:r>
        <w:t xml:space="preserve">A. The archive, opened: the method as the contribution</w:t>
      </w:r>
    </w:p>
    <w:p>
      <w:pPr>
        <w:pStyle w:val="FirstParagraph"/>
      </w:pPr>
      <w:r>
        <w:t xml:space="preserve">The article opened with a law professor’s archive that no one, the professor included, could open as a whole: years of slides, readings, briefs, and packets scattered across a flat folder structure. That structure stored the material without connecting it.</w:t>
      </w:r>
      <w:r>
        <w:rPr>
          <w:rStyle w:val="FootnoteReference"/>
        </w:rPr>
        <w:footnoteReference w:id="274"/>
      </w:r>
      <w:r>
        <w:t xml:space="preserve"> </w:t>
      </w:r>
      <w:r>
        <w:t xml:space="preserve">It closes by naming what opened that archive. The opener is a method, in which generative AI, structured source materials, typed markdown notes, retrieval from verified legal sources, and iterative expert review convert a dispersed archive into a navigable, cross-linked, student-facing course knowledge system. The contribution is the method, not the artifact. The constitutional-law system is the demonstration; the transferable result is the replicable process that other doctrinal courses with similar archives can follow.</w:t>
      </w:r>
      <w:r>
        <w:rPr>
          <w:rStyle w:val="FootnoteReference"/>
        </w:rPr>
        <w:footnoteReference w:id="275"/>
      </w:r>
    </w:p>
    <w:bookmarkEnd w:id="276"/>
    <w:bookmarkStart w:id="281" w:name="X3597124ef1bfa53b7814485366104065ddcf8a0"/>
    <w:p>
      <w:pPr>
        <w:pStyle w:val="Heading2"/>
      </w:pPr>
      <w:r>
        <w:t xml:space="preserve">B. What the case study showed, and what it did not claim</w:t>
      </w:r>
    </w:p>
    <w:p>
      <w:pPr>
        <w:pStyle w:val="FirstParagraph"/>
      </w:pPr>
      <w:r>
        <w:t xml:space="preserve">The case study showed a tractable pipeline that ran from source files to typed notes to a deployed, review-ready static site, governed by a six-phase rotation, a running lessons memory, and a forced-finding verification pass, with the professor positioned as the designed reviewer at each layer before it advanced.</w:t>
      </w:r>
      <w:r>
        <w:rPr>
          <w:rStyle w:val="FootnoteReference"/>
        </w:rPr>
        <w:footnoteReference w:id="277"/>
      </w:r>
      <w:r>
        <w:t xml:space="preserve"> </w:t>
      </w:r>
      <w:r>
        <w:t xml:space="preserve">The article is as careful about what it declined to claim as about what it showed. It does not claim that students learned more, because it did not run the study that would license that claim.</w:t>
      </w:r>
      <w:r>
        <w:rPr>
          <w:rStyle w:val="FootnoteReference"/>
        </w:rPr>
        <w:footnoteReference w:id="278"/>
      </w:r>
      <w:r>
        <w:t xml:space="preserve"> </w:t>
      </w:r>
      <w:r>
        <w:t xml:space="preserve">It does not claim universal transfer, treating constitutional law as one well-suited base case rather than proof that every doctrinal course transfers cleanly.</w:t>
      </w:r>
      <w:r>
        <w:rPr>
          <w:rStyle w:val="FootnoteReference"/>
        </w:rPr>
        <w:footnoteReference w:id="279"/>
      </w:r>
      <w:r>
        <w:t xml:space="preserve"> </w:t>
      </w:r>
      <w:r>
        <w:t xml:space="preserve">And it does not present a chatbot, because the case study is a review-ready static website whose risk surface sits at a build-time professorial-review checkpoint the architecture enables rather than at runtime generation, a deliberate tradeoff in which the static architecture forgoes the adaptivity and interactive feedback a chatbot offers in exchange for build-time auditability.</w:t>
      </w:r>
      <w:r>
        <w:rPr>
          <w:rStyle w:val="FootnoteReference"/>
        </w:rPr>
        <w:footnoteReference w:id="280"/>
      </w:r>
      <w:r>
        <w:t xml:space="preserve"> </w:t>
      </w:r>
      <w:r>
        <w:t xml:space="preserve">The article makes no claim that the May 2026 snapshot pages received that individual review before they went live, only that the architecture positions the gating role there for the workflow to enact.</w:t>
      </w:r>
    </w:p>
    <w:bookmarkEnd w:id="281"/>
    <w:bookmarkStart w:id="285" w:name="X69aaa3dbea4dfeae60d3702a4b9ec6943fca0ad"/>
    <w:p>
      <w:pPr>
        <w:pStyle w:val="Heading2"/>
      </w:pPr>
      <w:r>
        <w:t xml:space="preserve">C. Professorial judgment and the invitation forward</w:t>
      </w:r>
    </w:p>
    <w:p>
      <w:pPr>
        <w:pStyle w:val="FirstParagraph"/>
      </w:pPr>
      <w:r>
        <w:t xml:space="preserve">Across every layer, the expert never left the loop. The system did not replace professorial judgment; it made that judgment reusable, inspectable, and publishable. The adopted method equips an artifact that supports the professor’s live teaching; the teaching itself remains the professor’s. The article closes on the method-first, opt-in invitation that the institutional discussion handed forward. A faculty member adopts the method, namely the typed schema, the verified-source discipline, the professorial gating, and the iterative loop, rather than the constitutional-law artifact.</w:t>
      </w:r>
      <w:r>
        <w:rPr>
          <w:rStyle w:val="FootnoteReference"/>
        </w:rPr>
        <w:footnoteReference w:id="282"/>
      </w:r>
      <w:r>
        <w:t xml:space="preserve"> </w:t>
      </w:r>
      <w:r>
        <w:t xml:space="preserve">The natural next step is a second instance in another course, one that would test the generalization the article advances and measure what its evaluation plan describes.</w:t>
      </w:r>
      <w:r>
        <w:rPr>
          <w:rStyle w:val="FootnoteReference"/>
        </w:rPr>
        <w:footnoteReference w:id="283"/>
      </w:r>
      <w:r>
        <w:t xml:space="preserve"> </w:t>
      </w:r>
      <w:r>
        <w:t xml:space="preserve">The article hands a colleague the typed note schemas, the per-phase rubrics, the prompt library, and the cost log this case study produced, so the second instance starts from artifacts rather than reconstructs them.</w:t>
      </w:r>
      <w:r>
        <w:rPr>
          <w:rStyle w:val="FootnoteReference"/>
        </w:rPr>
        <w:footnoteReference w:id="284"/>
      </w:r>
      <w:r>
        <w:t xml:space="preserve"> </w:t>
      </w:r>
      <w:r>
        <w:t xml:space="preserve">The invitation is offered as a modest, replicable infrastructure choice rather than a mandate, and whether to extend it is the reader’s to decide.</w:t>
      </w:r>
    </w:p>
    <w:p>
      <w:r>
        <w:pict>
          <v:rect style="width:0;height:1.5pt" o:hralign="center" o:hrstd="t" o:hr="t"/>
        </w:pict>
      </w:r>
    </w:p>
    <w:bookmarkEnd w:id="285"/>
    <w:bookmarkStart w:id="286" w:name="footnotes"/>
    <w:p>
      <w:pPr>
        <w:pStyle w:val="Heading2"/>
      </w:pPr>
      <w:r>
        <w:t xml:space="preserve">Footnotes</w:t>
      </w:r>
    </w:p>
    <w:bookmarkEnd w:id="286"/>
    <w:bookmarkEnd w:id="2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rPr>
          <w:i/>
          <w:iCs/>
        </w:rPr>
        <w:t xml:space="preserve">See infra</w:t>
      </w:r>
      <w:r>
        <w:t xml:space="preserve"> </w:t>
      </w:r>
      <w:r>
        <w:t xml:space="preserve">Section IV (The Input Corpus) (describing the Canvas learning-management export as a flat folder whose only organization is the filename string);</w:t>
      </w:r>
      <w:r>
        <w:t xml:space="preserve"> </w:t>
      </w:r>
      <w:r>
        <w:rPr>
          <w:i/>
          <w:iCs/>
        </w:rPr>
        <w:t xml:space="preserve">see also infra</w:t>
      </w:r>
      <w:r>
        <w:t xml:space="preserve"> </w:t>
      </w:r>
      <w:r>
        <w:t xml:space="preserve">App. A (Input Inventory) (filename sample drawn from a directory listing of the Source Materials folder on May 15, 2026).</w:t>
      </w:r>
    </w:p>
  </w:footnote>
  <w:footnote w:id="12">
    <w:p>
      <w:pPr>
        <w:pStyle w:val="FootnoteText"/>
      </w:pPr>
      <w:r>
        <w:rPr>
          <w:rStyle w:val="FootnoteReference"/>
        </w:rPr>
        <w:footnoteRef/>
      </w:r>
      <w:r>
        <w:t xml:space="preserve"> </w:t>
      </w:r>
      <w:r>
        <w:rPr>
          <w:i/>
          <w:iCs/>
        </w:rPr>
        <w:t xml:space="preserve">See infra</w:t>
      </w:r>
      <w:r>
        <w:t xml:space="preserve"> </w:t>
      </w:r>
      <w:r>
        <w:t xml:space="preserve">Section VII (Iterative Improvement Under Professorial Control) (describing the professorial-review checkpoints built into each phase of the maintenance rotation, under which the professor inspects the drafted work, corrects what is wrong, and gates whether the work advances or returns for another pass).</w:t>
      </w:r>
    </w:p>
  </w:footnote>
  <w:footnote w:id="13">
    <w:p>
      <w:pPr>
        <w:pStyle w:val="FootnoteText"/>
      </w:pPr>
      <w:r>
        <w:rPr>
          <w:rStyle w:val="FootnoteReference"/>
        </w:rPr>
        <w:footnoteRef/>
      </w:r>
      <w:r>
        <w:t xml:space="preserve"> </w:t>
      </w:r>
      <w:r>
        <w:rPr>
          <w:i/>
          <w:iCs/>
        </w:rPr>
        <w:t xml:space="preserve">See infra</w:t>
      </w:r>
      <w:r>
        <w:t xml:space="preserve"> </w:t>
      </w:r>
      <w:r>
        <w:t xml:space="preserve">Section XII (Risks and Limits) (developing the architectural contrast between the review-ready static-website case study and chatbot architectures, and locating the case study’s risk surface at build-time professorial review rather than at runtime generation).</w:t>
      </w:r>
    </w:p>
  </w:footnote>
  <w:footnote w:id="14">
    <w:p>
      <w:pPr>
        <w:pStyle w:val="FootnoteText"/>
      </w:pPr>
      <w:r>
        <w:rPr>
          <w:rStyle w:val="FootnoteReference"/>
        </w:rPr>
        <w:footnoteRef/>
      </w:r>
      <w:r>
        <w:t xml:space="preserve"> </w:t>
      </w:r>
      <w:r>
        <w:rPr>
          <w:i/>
          <w:iCs/>
        </w:rPr>
        <w:t xml:space="preserve">See infra</w:t>
      </w:r>
      <w:r>
        <w:t xml:space="preserve"> </w:t>
      </w:r>
      <w:r>
        <w:t xml:space="preserve">Section XI (Evaluation: What Would Count as Success) (stating that the article advances a method claim rather than a learning-outcomes claim, and describing the method-plus-light-data evaluation posture adopted in lieu of a controlled trial the single course cannot run).</w:t>
      </w:r>
    </w:p>
  </w:footnote>
  <w:footnote w:id="16">
    <w:p>
      <w:pPr>
        <w:pStyle w:val="FootnoteText"/>
      </w:pPr>
      <w:r>
        <w:rPr>
          <w:rStyle w:val="FootnoteReference"/>
        </w:rPr>
        <w:footnoteRef/>
      </w:r>
      <w:r>
        <w:t xml:space="preserve"> </w:t>
      </w:r>
      <w:r>
        <w:t xml:space="preserve">Constitutional Law I Wiki, https://constitutionallaw.netlify.app (last visited May 23, 2026) (the deployed static site presents Dashboard, Cases, Topics, Lectures, Recent, and About navigation and identifies the course as Professor Chandler’s Constitutional Law I, Spring 2026);</w:t>
      </w:r>
      <w:r>
        <w:t xml:space="preserve"> </w:t>
      </w:r>
      <w:r>
        <w:rPr>
          <w:i/>
          <w:iCs/>
        </w:rPr>
        <w:t xml:space="preserve">see also infra</w:t>
      </w:r>
      <w:r>
        <w:t xml:space="preserve"> </w:t>
      </w:r>
      <w:r>
        <w:t xml:space="preserve">App. A (Input Inventory) (198-page corpus snapshot of 92 case briefs, 27 doctrinal topic pages, and 79 lecture summaries as of the progress-report date).</w:t>
      </w:r>
    </w:p>
  </w:footnote>
  <w:footnote w:id="17">
    <w:p>
      <w:pPr>
        <w:pStyle w:val="FootnoteText"/>
      </w:pPr>
      <w:r>
        <w:rPr>
          <w:rStyle w:val="FootnoteReference"/>
        </w:rPr>
        <w:footnoteRef/>
      </w:r>
      <w:r>
        <w:t xml:space="preserve"> </w:t>
      </w:r>
      <w:r>
        <w:rPr>
          <w:i/>
          <w:iCs/>
        </w:rPr>
        <w:t xml:space="preserve">See infra</w:t>
      </w:r>
      <w:r>
        <w:t xml:space="preserve"> </w:t>
      </w:r>
      <w:r>
        <w:t xml:space="preserve">Section III (Case Study: A Constitutional-Law Knowledge System) (describing the discipline under which every key quotation on a case page links to the cited line of the indexed judicial opinion, so a reader can trace each pull-quote to the source that controls it).</w:t>
      </w:r>
    </w:p>
  </w:footnote>
  <w:footnote w:id="18">
    <w:p>
      <w:pPr>
        <w:pStyle w:val="FootnoteText"/>
      </w:pPr>
      <w:r>
        <w:rPr>
          <w:rStyle w:val="FootnoteReference"/>
        </w:rPr>
        <w:footnoteRef/>
      </w:r>
      <w:r>
        <w:t xml:space="preserve"> </w:t>
      </w:r>
      <w:r>
        <w:rPr>
          <w:i/>
          <w:iCs/>
        </w:rPr>
        <w:t xml:space="preserve">See infra</w:t>
      </w:r>
      <w:r>
        <w:t xml:space="preserve"> </w:t>
      </w:r>
      <w:r>
        <w:t xml:space="preserve">Section IV (The Input Corpus) (identifying the corpus as a single course, Constitutional Law I (Spring 2026) taught by Professor Chandler, and bounding its doctrinal scope to the structural-plus-rights subset of a one-semester course).</w:t>
      </w:r>
    </w:p>
  </w:footnote>
  <w:footnote w:id="20">
    <w:p>
      <w:pPr>
        <w:pStyle w:val="FootnoteText"/>
      </w:pPr>
      <w:r>
        <w:rPr>
          <w:rStyle w:val="FootnoteReference"/>
        </w:rPr>
        <w:footnoteRef/>
      </w:r>
      <w:r>
        <w:t xml:space="preserve"> </w:t>
      </w:r>
      <w:r>
        <w:t xml:space="preserve">Jonathan H. Choi &amp; Daniel Schwarcz,</w:t>
      </w:r>
      <w:r>
        <w:t xml:space="preserve"> </w:t>
      </w:r>
      <w:r>
        <w:rPr>
          <w:i/>
          <w:iCs/>
        </w:rPr>
        <w:t xml:space="preserve">AI Assistance in Legal Analysis: An Empirical Study</w:t>
      </w:r>
      <w:r>
        <w:t xml:space="preserve">, 73 J. Legal Educ. 384 (2025), https://jle.aals.org/home/vol73/iss2/5/ (last visited May 23, 2026);</w:t>
      </w:r>
      <w:r>
        <w:t xml:space="preserve"> </w:t>
      </w:r>
      <w:r>
        <w:rPr>
          <w:i/>
          <w:iCs/>
        </w:rPr>
        <w:t xml:space="preserve">see also</w:t>
      </w:r>
      <w:r>
        <w:t xml:space="preserve"> </w:t>
      </w:r>
      <w:r>
        <w:t xml:space="preserve">Jonathan H. Choi, Kristin E. Hickman, Amy B. Monahan &amp; Daniel Schwarcz,</w:t>
      </w:r>
      <w:r>
        <w:t xml:space="preserve"> </w:t>
      </w:r>
      <w:r>
        <w:rPr>
          <w:i/>
          <w:iCs/>
        </w:rPr>
        <w:t xml:space="preserve">ChatGPT Goes to Law School</w:t>
      </w:r>
      <w:r>
        <w:t xml:space="preserve">, 71 J. Legal Educ. 387 (2022), https://jle.aals.org/home/vol71/iss3/2/ (last visited May 29, 2026) (URL verified live this run via WebFetch returning verbatim title and the four-author byline; the Journal’s earlier in-pages anchor for empirical inquiry into generative artificial intelligence and law-school learning);</w:t>
      </w:r>
      <w:r>
        <w:t xml:space="preserve"> </w:t>
      </w:r>
      <w:r>
        <w:rPr>
          <w:i/>
          <w:iCs/>
        </w:rPr>
        <w:t xml:space="preserve">see also infra</w:t>
      </w:r>
      <w:r>
        <w:t xml:space="preserve"> </w:t>
      </w:r>
      <w:r>
        <w:t xml:space="preserve">Section XI note 154.</w:t>
      </w:r>
    </w:p>
  </w:footnote>
  <w:footnote w:id="21">
    <w:p>
      <w:pPr>
        <w:pStyle w:val="FootnoteText"/>
      </w:pPr>
      <w:r>
        <w:rPr>
          <w:rStyle w:val="FootnoteReference"/>
        </w:rPr>
        <w:footnoteRef/>
      </w:r>
      <w:r>
        <w:t xml:space="preserve"> </w:t>
      </w:r>
      <w:r>
        <w:rPr>
          <w:i/>
          <w:iCs/>
        </w:rPr>
        <w:t xml:space="preserve">See infra</w:t>
      </w:r>
      <w:r>
        <w:t xml:space="preserve"> </w:t>
      </w:r>
      <w:r>
        <w:t xml:space="preserve">Section XI note 153 (Melissa Bond et al.,</w:t>
      </w:r>
      <w:r>
        <w:t xml:space="preserve"> </w:t>
      </w:r>
      <w:r>
        <w:rPr>
          <w:i/>
          <w:iCs/>
        </w:rPr>
        <w:t xml:space="preserve">A Meta Systematic Review of Artificial Intelligence in Higher Education: A Call for Increased Ethics, Collaboration, and Rigour</w:t>
      </w:r>
      <w:r>
        <w:t xml:space="preserve">, 21 Int’l J. Educ. Tech. Higher Educ. art. 4 (2024));</w:t>
      </w:r>
      <w:r>
        <w:t xml:space="preserve"> </w:t>
      </w:r>
      <w:r>
        <w:rPr>
          <w:i/>
          <w:iCs/>
        </w:rPr>
        <w:t xml:space="preserve">see also infra</w:t>
      </w:r>
      <w:r>
        <w:t xml:space="preserve"> </w:t>
      </w:r>
      <w:r>
        <w:t xml:space="preserve">Section XII note 169. URL liveness is owned by Section XI per the article’s cross-section-reuse convention (https://link.springer.com/article/10.1186/s41239-023-00436-z verified live May 31, 2026 at Section XI note 153, and reconfirmed live June 1, 2026 via a WebSearch returning the verbatim article title and URL). This introduction invokes Bond for the meta-review’s field-level call to greater ethics, collaboration, and rigor; the corpus-composition characterization developed at Sections XI and XII is not relied on here.</w:t>
      </w:r>
    </w:p>
  </w:footnote>
  <w:footnote w:id="25">
    <w:p>
      <w:pPr>
        <w:pStyle w:val="FootnoteText"/>
      </w:pPr>
      <w:r>
        <w:rPr>
          <w:rStyle w:val="FootnoteReference"/>
        </w:rPr>
        <w:footnoteRef/>
      </w:r>
      <w:r>
        <w:t xml:space="preserve"> </w:t>
      </w:r>
      <w:r>
        <w:t xml:space="preserve">Edward L. Rubin,</w:t>
      </w:r>
      <w:r>
        <w:t xml:space="preserve"> </w:t>
      </w:r>
      <w:r>
        <w:rPr>
          <w:i/>
          <w:iCs/>
        </w:rPr>
        <w:t xml:space="preserve">What’s Wrong with Langdell’s Method, and What to Do About It</w:t>
      </w:r>
      <w:r>
        <w:t xml:space="preserve">, 60 Vand. L. Rev. 609 (2007), https://scholarship.law.vanderbilt.edu/vlr/vol60/iss2/12/ (last visited June 1, 2026).</w:t>
      </w:r>
    </w:p>
  </w:footnote>
  <w:footnote w:id="27">
    <w:p>
      <w:pPr>
        <w:pStyle w:val="FootnoteText"/>
      </w:pPr>
      <w:r>
        <w:rPr>
          <w:rStyle w:val="FootnoteReference"/>
        </w:rPr>
        <w:footnoteRef/>
      </w:r>
      <w:r>
        <w:t xml:space="preserve"> </w:t>
      </w:r>
      <w:r>
        <w:rPr>
          <w:i/>
          <w:iCs/>
        </w:rPr>
        <w:t xml:space="preserve">See infra</w:t>
      </w:r>
      <w:r>
        <w:t xml:space="preserve"> </w:t>
      </w:r>
      <w:r>
        <w:t xml:space="preserve">App. A (Input Inventory) (Starting-State subsection: flat-folder export comprising sixty-one PowerPoint lecture decks, sixty-six PDFs of case readings, a dozen merged reading packets, several practice exams, and a set of teaching guides, organized only by filename, with no structural index, no doctrinal map, no per-lecture-to-case cross-reference, and no synthesis layer);</w:t>
      </w:r>
      <w:r>
        <w:t xml:space="preserve"> </w:t>
      </w:r>
      <w:r>
        <w:rPr>
          <w:i/>
          <w:iCs/>
        </w:rPr>
        <w:t xml:space="preserve">see also infra</w:t>
      </w:r>
      <w:r>
        <w:t xml:space="preserve"> </w:t>
      </w:r>
      <w:r>
        <w:t xml:space="preserve">Section IV (The Input Corpus) (cross-reference to the same starting-state corpus framed at the input-corpus altitude).</w:t>
      </w:r>
    </w:p>
  </w:footnote>
  <w:footnote w:id="28">
    <w:p>
      <w:pPr>
        <w:pStyle w:val="FootnoteText"/>
      </w:pPr>
      <w:r>
        <w:rPr>
          <w:rStyle w:val="FootnoteReference"/>
        </w:rPr>
        <w:footnoteRef/>
      </w:r>
      <w:r>
        <w:t xml:space="preserve"> </w:t>
      </w:r>
      <w:r>
        <w:rPr>
          <w:i/>
          <w:iCs/>
        </w:rPr>
        <w:t xml:space="preserve">See infra</w:t>
      </w:r>
      <w:r>
        <w:t xml:space="preserve"> </w:t>
      </w:r>
      <w:r>
        <w:t xml:space="preserve">App. A (Input Inventory) (Vault Output Snapshot subsection: one hundred ninety-eight wiki pages as of the progress-report date, comprising ninety-two case briefs, twenty-seven doctrinal topic pages, and seventy-nine lecture summaries, alongside one hundred fifty-four source materials that remained unprocessed at the same snapshot date);</w:t>
      </w:r>
      <w:r>
        <w:t xml:space="preserve"> </w:t>
      </w:r>
      <w:r>
        <w:rPr>
          <w:i/>
          <w:iCs/>
        </w:rPr>
        <w:t xml:space="preserve">see also infra</w:t>
      </w:r>
      <w:r>
        <w:t xml:space="preserve"> </w:t>
      </w:r>
      <w:r>
        <w:t xml:space="preserve">Section IV (The Input Corpus) note 52 (the same one-hundred-ninety-eight-page corpus snapshot anchored at the input-corpus altitude where the figure is the primary anchor).</w:t>
      </w:r>
    </w:p>
  </w:footnote>
  <w:footnote w:id="30">
    <w:p>
      <w:pPr>
        <w:pStyle w:val="FootnoteText"/>
      </w:pPr>
      <w:r>
        <w:rPr>
          <w:rStyle w:val="FootnoteReference"/>
        </w:rPr>
        <w:footnoteRef/>
      </w:r>
      <w:r>
        <w:t xml:space="preserve"> </w:t>
      </w:r>
      <w:r>
        <w:t xml:space="preserve">Elizabeth Mertz,</w:t>
      </w:r>
      <w:r>
        <w:t xml:space="preserve"> </w:t>
      </w:r>
      <w:r>
        <w:rPr>
          <w:i/>
          <w:iCs/>
        </w:rPr>
        <w:t xml:space="preserve">The Language of Law School: Learning to “Think Like a Lawyer”</w:t>
      </w:r>
      <w:r>
        <w:t xml:space="preserve"> </w:t>
      </w:r>
      <w:r>
        <w:t xml:space="preserve">(Oxford Univ. Press 2007), https://global.oup.com/academic/product/the-language-of-law-school-9780195183108 (last visited June 1, 2026). The ethnographic observation about the performed component of teaching is deployed here as a single contextual frame, not as a learning-outcomes claim.</w:t>
      </w:r>
    </w:p>
  </w:footnote>
  <w:footnote w:id="31">
    <w:p>
      <w:pPr>
        <w:pStyle w:val="FootnoteText"/>
      </w:pPr>
      <w:r>
        <w:rPr>
          <w:rStyle w:val="FootnoteReference"/>
        </w:rPr>
        <w:footnoteRef/>
      </w:r>
      <w:r>
        <w:t xml:space="preserve"> </w:t>
      </w:r>
      <w:r>
        <w:rPr>
          <w:i/>
          <w:iCs/>
        </w:rPr>
        <w:t xml:space="preserve">See infra</w:t>
      </w:r>
      <w:r>
        <w:t xml:space="preserve"> </w:t>
      </w:r>
      <w:r>
        <w:t xml:space="preserve">Section VII (Iterative Improvement Under Professorial Control) note 91 (full anchor narrative of the modernized-PDF silent-update failure, with the verbatim Grier quotation from</w:t>
      </w:r>
      <w:r>
        <w:t xml:space="preserve"> </w:t>
      </w:r>
      <w:r>
        <w:rPr>
          <w:i/>
          <w:iCs/>
        </w:rPr>
        <w:t xml:space="preserve">The Prize Cases</w:t>
      </w:r>
      <w:r>
        <w:t xml:space="preserve">, 67 U.S. (2 Black) 635, 670 (1863) corrected against the indexed opinion through Midpage’s</w:t>
      </w:r>
      <w:r>
        <w:t xml:space="preserve"> </w:t>
      </w:r>
      <w:r>
        <w:rPr>
          <w:rStyle w:val="VerbatimChar"/>
        </w:rPr>
        <w:t xml:space="preserve">analyzeOpinion</w:t>
      </w:r>
      <w:r>
        <w:t xml:space="preserve"> </w:t>
      </w:r>
      <w:r>
        <w:t xml:space="preserve">read after the prior keyword search failed; em dash in the verbatim quotation retained from the indexed reporter). URL liveness for the indexed</w:t>
      </w:r>
      <w:r>
        <w:t xml:space="preserve"> </w:t>
      </w:r>
      <w:r>
        <w:rPr>
          <w:i/>
          <w:iCs/>
        </w:rPr>
        <w:t xml:space="preserve">Prize Cases</w:t>
      </w:r>
      <w:r>
        <w:t xml:space="preserve"> </w:t>
      </w:r>
      <w:r>
        <w:t xml:space="preserve">opinion is established at Section VII note 95 and not re-verified here; Section II carries only the one-sentence forward-pointer so Section VII’s anchor function remains intact.</w:t>
      </w:r>
    </w:p>
  </w:footnote>
  <w:footnote w:id="33">
    <w:p>
      <w:pPr>
        <w:pStyle w:val="FootnoteText"/>
      </w:pPr>
      <w:r>
        <w:rPr>
          <w:rStyle w:val="FootnoteReference"/>
        </w:rPr>
        <w:footnoteRef/>
      </w:r>
      <w:r>
        <w:t xml:space="preserve"> </w:t>
      </w:r>
      <w:r>
        <w:rPr>
          <w:i/>
          <w:iCs/>
        </w:rPr>
        <w:t xml:space="preserve">See infra</w:t>
      </w:r>
      <w:r>
        <w:t xml:space="preserve"> </w:t>
      </w:r>
      <w:r>
        <w:t xml:space="preserve">App. A (Input Inventory) (Topic Page Schema subsection: per-doctrine synthesis surface gathering every case brief and lecture summary touching the doctrine into a single page carrying the governing rule, doctrinal development from earliest controlling case to most recent, a Key Cases comparison table, hypothetical applications, an exam-spotting framework, and a critique block, with the Commerce Clause Topic page as the running example);</w:t>
      </w:r>
      <w:r>
        <w:t xml:space="preserve"> </w:t>
      </w:r>
      <w:r>
        <w:rPr>
          <w:i/>
          <w:iCs/>
        </w:rPr>
        <w:t xml:space="preserve">see also infra</w:t>
      </w:r>
      <w:r>
        <w:t xml:space="preserve"> </w:t>
      </w:r>
      <w:r>
        <w:t xml:space="preserve">Section V (Building the Obsidian Vault) (cross-reference to the Topic-page typed-schema convention framed at the schema altitude).</w:t>
      </w:r>
    </w:p>
  </w:footnote>
  <w:footnote w:id="34">
    <w:p>
      <w:pPr>
        <w:pStyle w:val="FootnoteText"/>
      </w:pPr>
      <w:r>
        <w:rPr>
          <w:rStyle w:val="FootnoteReference"/>
        </w:rPr>
        <w:footnoteRef/>
      </w:r>
      <w:r>
        <w:t xml:space="preserve"> </w:t>
      </w:r>
      <w:r>
        <w:rPr>
          <w:i/>
          <w:iCs/>
        </w:rPr>
        <w:t xml:space="preserve">See infra</w:t>
      </w:r>
      <w:r>
        <w:t xml:space="preserve"> </w:t>
      </w:r>
      <w:r>
        <w:t xml:space="preserve">App. C (Obsidian Note Templates) (Wiki-Link Grammar subsection: explicit wiki-link conventions documented in the project’s vault primer connecting Topic pages to their case briefs and lecture summaries, case briefs back to their topics and forward to citing cases, and lecture summaries to the cases and topics each lecture covered; the navigation surface those conventions produce is the doctrinal-map graph the inherited inventory does not produce);</w:t>
      </w:r>
      <w:r>
        <w:t xml:space="preserve"> </w:t>
      </w:r>
      <w:r>
        <w:rPr>
          <w:i/>
          <w:iCs/>
        </w:rPr>
        <w:t xml:space="preserve">see also infra</w:t>
      </w:r>
      <w:r>
        <w:t xml:space="preserve"> </w:t>
      </w:r>
      <w:r>
        <w:t xml:space="preserve">Section VIII (From Vault to Website) note 99 (cross-reference to the deployed-site URL where the wiki-link graph is the published navigation surface a reader exercises directly);</w:t>
      </w:r>
      <w:r>
        <w:t xml:space="preserve"> </w:t>
      </w:r>
      <w:r>
        <w:rPr>
          <w:i/>
          <w:iCs/>
        </w:rPr>
        <w:t xml:space="preserve">see also infra</w:t>
      </w:r>
      <w:r>
        <w:t xml:space="preserve"> </w:t>
      </w:r>
      <w:r>
        <w:t xml:space="preserve">Section III (Case Study: A Constitutional-Law Knowledge System) (cross-reference to the user-experience walkthrough of the wiki-link graph at the screenshot-grounded altitude);</w:t>
      </w:r>
      <w:r>
        <w:t xml:space="preserve"> </w:t>
      </w:r>
      <w:r>
        <w:rPr>
          <w:i/>
          <w:iCs/>
        </w:rPr>
        <w:t xml:space="preserve">see also infra</w:t>
      </w:r>
      <w:r>
        <w:t xml:space="preserve"> </w:t>
      </w:r>
      <w:r>
        <w:t xml:space="preserve">Section V (Building the Obsidian Vault) (cross-reference to the wiki-link conventions framed at the schema altitude). Section II carries no inline deployed-site URL and routes the architectural anchor through Section VIII note 103, where the URL is the primary anchor fact.</w:t>
      </w:r>
    </w:p>
  </w:footnote>
  <w:footnote w:id="36">
    <w:p>
      <w:pPr>
        <w:pStyle w:val="FootnoteText"/>
      </w:pPr>
      <w:r>
        <w:rPr>
          <w:rStyle w:val="FootnoteReference"/>
        </w:rPr>
        <w:footnoteRef/>
      </w:r>
      <w:r>
        <w:t xml:space="preserve"> </w:t>
      </w:r>
      <w:r>
        <w:t xml:space="preserve">Jamie R. Abrams,</w:t>
      </w:r>
      <w:r>
        <w:t xml:space="preserve"> </w:t>
      </w:r>
      <w:r>
        <w:rPr>
          <w:i/>
          <w:iCs/>
        </w:rPr>
        <w:t xml:space="preserve">Reframing the Socratic Method</w:t>
      </w:r>
      <w:r>
        <w:t xml:space="preserve">, 64 J. Legal Educ. 562 (2015), https://jle.aals.org/home/vol64/iss4/2/ (last visited June 1, 2026). Cited for the rhetorical posture (extends, does not displace) and venue fit, not for a substantive Socratic-method claim.</w:t>
      </w:r>
    </w:p>
  </w:footnote>
  <w:footnote w:id="37">
    <w:p>
      <w:pPr>
        <w:pStyle w:val="FootnoteText"/>
      </w:pPr>
      <w:r>
        <w:rPr>
          <w:rStyle w:val="FootnoteReference"/>
        </w:rPr>
        <w:footnoteRef/>
      </w:r>
      <w:r>
        <w:t xml:space="preserve"> </w:t>
      </w:r>
      <w:r>
        <w:t xml:space="preserve">William M. Sullivan et al.,</w:t>
      </w:r>
      <w:r>
        <w:t xml:space="preserve"> </w:t>
      </w:r>
      <w:r>
        <w:rPr>
          <w:i/>
          <w:iCs/>
        </w:rPr>
        <w:t xml:space="preserve">Educating Lawyers</w:t>
      </w:r>
      <w:r>
        <w:t xml:space="preserve">, Summary at 10 (2007), https://archive.carnegiefoundation.org/publications/pdfs/elibrary/elibrary_pdf_632.pdf (Recommendation 1: Offer an Integrated Curriculum); Roy Stuckey et al.,</w:t>
      </w:r>
      <w:r>
        <w:t xml:space="preserve"> </w:t>
      </w:r>
      <w:r>
        <w:rPr>
          <w:i/>
          <w:iCs/>
        </w:rPr>
        <w:t xml:space="preserve">Best Practices for Legal Education</w:t>
      </w:r>
      <w:r>
        <w:t xml:space="preserve"> </w:t>
      </w:r>
      <w:r>
        <w:t xml:space="preserve">13 (CLEA 2007), https://encle.org/upload/files/teaching-materials/best_practices-full.pdf; Susan P. Sturm &amp; Lani Guinier,</w:t>
      </w:r>
      <w:r>
        <w:t xml:space="preserve"> </w:t>
      </w:r>
      <w:r>
        <w:rPr>
          <w:i/>
          <w:iCs/>
        </w:rPr>
        <w:t xml:space="preserve">The Law School Matrix</w:t>
      </w:r>
      <w:r>
        <w:t xml:space="preserve">, 60 Vand. L. Rev. 515, 519-20 (2007), https://scholarship.law.vanderbilt.edu/vlr/vol60/iss2/9/ (all last visited May 29, 2026). Cited for the pedagogical-reform-by-augmentation line.</w:t>
      </w:r>
    </w:p>
  </w:footnote>
  <w:footnote w:id="38">
    <w:p>
      <w:pPr>
        <w:pStyle w:val="FootnoteText"/>
      </w:pPr>
      <w:r>
        <w:rPr>
          <w:rStyle w:val="FootnoteReference"/>
        </w:rPr>
        <w:footnoteRef/>
      </w:r>
      <w:r>
        <w:t xml:space="preserve"> </w:t>
      </w:r>
      <w:r>
        <w:t xml:space="preserve">William M. Sullivan et al.,</w:t>
      </w:r>
      <w:r>
        <w:t xml:space="preserve"> </w:t>
      </w:r>
      <w:r>
        <w:rPr>
          <w:i/>
          <w:iCs/>
        </w:rPr>
        <w:t xml:space="preserve">Educating Lawyers</w:t>
      </w:r>
      <w:r>
        <w:t xml:space="preserve">, Summary at 10 (2007), https://archive.carnegiefoundation.org/publications/pdfs/elibrary/elibrary_pdf_632.pdf (Recommendation 1: Offer an Integrated Curriculum); Roy Stuckey et al.,</w:t>
      </w:r>
      <w:r>
        <w:t xml:space="preserve"> </w:t>
      </w:r>
      <w:r>
        <w:rPr>
          <w:i/>
          <w:iCs/>
        </w:rPr>
        <w:t xml:space="preserve">Best Practices for Legal Education</w:t>
      </w:r>
      <w:r>
        <w:t xml:space="preserve"> </w:t>
      </w:r>
      <w:r>
        <w:t xml:space="preserve">13 (CLEA 2007), https://encle.org/upload/files/teaching-materials/best_practices-full.pdf; Susan P. Sturm &amp; Lani Guinier,</w:t>
      </w:r>
      <w:r>
        <w:t xml:space="preserve"> </w:t>
      </w:r>
      <w:r>
        <w:rPr>
          <w:i/>
          <w:iCs/>
        </w:rPr>
        <w:t xml:space="preserve">The Law School Matrix</w:t>
      </w:r>
      <w:r>
        <w:t xml:space="preserve">, 60 Vand. L. Rev. 515, 519-20 (2007), https://scholarship.law.vanderbilt.edu/vlr/vol60/iss2/9/ (all last visited May 29, 2026). Cited for the pedagogical-reform-by-augmentation line.</w:t>
      </w:r>
    </w:p>
  </w:footnote>
  <w:footnote w:id="39">
    <w:p>
      <w:pPr>
        <w:pStyle w:val="FootnoteText"/>
      </w:pPr>
      <w:r>
        <w:rPr>
          <w:rStyle w:val="FootnoteReference"/>
        </w:rPr>
        <w:footnoteRef/>
      </w:r>
      <w:r>
        <w:t xml:space="preserve"> </w:t>
      </w:r>
      <w:r>
        <w:t xml:space="preserve">Melissa Bond et al.,</w:t>
      </w:r>
      <w:r>
        <w:t xml:space="preserve"> </w:t>
      </w:r>
      <w:r>
        <w:rPr>
          <w:i/>
          <w:iCs/>
        </w:rPr>
        <w:t xml:space="preserve">A Meta Systematic Review of Artificial Intelligence in Higher Education: A Call for Increased Ethics, Collaboration, and Rigour</w:t>
      </w:r>
      <w:r>
        <w:t xml:space="preserve">, 21 Int’l J. Educ. Tech. Higher Educ. art. 4 (2024), https://link.springer.com/article/10.1186/s41239-023-00436-z (last visited June 1, 2026).</w:t>
      </w:r>
    </w:p>
  </w:footnote>
  <w:footnote w:id="41">
    <w:p>
      <w:pPr>
        <w:pStyle w:val="FootnoteText"/>
      </w:pPr>
      <w:r>
        <w:rPr>
          <w:rStyle w:val="FootnoteReference"/>
        </w:rPr>
        <w:footnoteRef/>
      </w:r>
      <w:r>
        <w:t xml:space="preserve"> </w:t>
      </w:r>
      <w:r>
        <w:t xml:space="preserve">Quimbee, https://www.quimbee.com (last visited May 29, 2026); Oyez, https://www.oyez.org (last visited May 29, 2026); Studicata, https://www.studicata.com (last visited May 29, 2026). Cited for the existence of the commercial study-aid form, not for any learning-outcomes claim.</w:t>
      </w:r>
    </w:p>
  </w:footnote>
  <w:footnote w:id="42">
    <w:p>
      <w:pPr>
        <w:pStyle w:val="FootnoteText"/>
      </w:pPr>
      <w:r>
        <w:rPr>
          <w:rStyle w:val="FootnoteReference"/>
        </w:rPr>
        <w:footnoteRef/>
      </w:r>
      <w:r>
        <w:t xml:space="preserve"> </w:t>
      </w:r>
      <w:r>
        <w:t xml:space="preserve">Sönke Ahrens,</w:t>
      </w:r>
      <w:r>
        <w:t xml:space="preserve"> </w:t>
      </w:r>
      <w:r>
        <w:rPr>
          <w:i/>
          <w:iCs/>
        </w:rPr>
        <w:t xml:space="preserve">How to Take Smart Notes</w:t>
      </w:r>
      <w:r>
        <w:t xml:space="preserve"> </w:t>
      </w:r>
      <w:r>
        <w:t xml:space="preserve">(2017); Andy Matuschak,</w:t>
      </w:r>
      <w:r>
        <w:t xml:space="preserve"> </w:t>
      </w:r>
      <w:r>
        <w:rPr>
          <w:i/>
          <w:iCs/>
        </w:rPr>
        <w:t xml:space="preserve">Evergreen Notes</w:t>
      </w:r>
      <w:r>
        <w:t xml:space="preserve">, https://notes.andymatuschak.org (last visited May 29, 2026). Cited as structural precedent for the linked published-notes form; the article’s novelty is applying that form to a reviewed doctrinal course archive.</w:t>
      </w:r>
    </w:p>
  </w:footnote>
  <w:footnote w:id="45">
    <w:p>
      <w:pPr>
        <w:pStyle w:val="FootnoteText"/>
      </w:pPr>
      <w:r>
        <w:rPr>
          <w:rStyle w:val="FootnoteReference"/>
        </w:rPr>
        <w:footnoteRef/>
      </w:r>
      <w:r>
        <w:t xml:space="preserve"> </w:t>
      </w:r>
      <w:r>
        <w:rPr>
          <w:i/>
          <w:iCs/>
        </w:rPr>
        <w:t xml:space="preserve">See infra</w:t>
      </w:r>
      <w:r>
        <w:t xml:space="preserve"> </w:t>
      </w:r>
      <w:r>
        <w:t xml:space="preserve">Section VIII note 103 (deployed-site URL https://constitutionallaw.netlify.app as the primary anchor fact for the published case study);</w:t>
      </w:r>
      <w:r>
        <w:t xml:space="preserve"> </w:t>
      </w:r>
      <w:r>
        <w:rPr>
          <w:i/>
          <w:iCs/>
        </w:rPr>
        <w:t xml:space="preserve">see also infra</w:t>
      </w:r>
      <w:r>
        <w:t xml:space="preserve"> </w:t>
      </w:r>
      <w:r>
        <w:t xml:space="preserve">App. F (Technical Setup) (top-nav routes Dashboard, Cases, Topics, Lectures, Recent, and About; brand row reading “Con Law I · Prof. Chandler · Spring 2026”; and ⌘K search-palette trigger labeled “Search cases, topics, doctrines” rendered in the hand-written shell at</w:t>
      </w:r>
      <w:r>
        <w:t xml:space="preserve"> </w:t>
      </w:r>
      <w:r>
        <w:rPr>
          <w:rStyle w:val="VerbatimChar"/>
        </w:rPr>
        <w:t xml:space="preserve">.site/dist/index.html</w:t>
      </w:r>
      <w:r>
        <w:t xml:space="preserve"> </w:t>
      </w:r>
      <w:r>
        <w:t xml:space="preserve">lines 60 to 77).</w:t>
      </w:r>
    </w:p>
  </w:footnote>
  <w:footnote w:id="46">
    <w:p>
      <w:pPr>
        <w:pStyle w:val="FootnoteText"/>
      </w:pPr>
      <w:r>
        <w:rPr>
          <w:rStyle w:val="FootnoteReference"/>
        </w:rPr>
        <w:footnoteRef/>
      </w:r>
      <w:r>
        <w:t xml:space="preserve"> </w:t>
      </w:r>
      <w:r>
        <w:t xml:space="preserve">Figure 3.1 (capture pending, see PI-027) (deployed-site top-nav entry shell, brand row, and ⌘K search-palette trigger as a Con Law I student first encounters them on opening the deployed case study).</w:t>
      </w:r>
    </w:p>
  </w:footnote>
  <w:footnote w:id="47">
    <w:p>
      <w:pPr>
        <w:pStyle w:val="FootnoteText"/>
      </w:pPr>
      <w:r>
        <w:rPr>
          <w:rStyle w:val="FootnoteReference"/>
        </w:rPr>
        <w:footnoteRef/>
      </w:r>
      <w:r>
        <w:t xml:space="preserve"> </w:t>
      </w:r>
      <w:r>
        <w:rPr>
          <w:i/>
          <w:iCs/>
        </w:rPr>
        <w:t xml:space="preserve">See infra</w:t>
      </w:r>
      <w:r>
        <w:t xml:space="preserve"> </w:t>
      </w:r>
      <w:r>
        <w:t xml:space="preserve">App. F (Technical Setup) (Recent route</w:t>
      </w:r>
      <w:r>
        <w:t xml:space="preserve"> </w:t>
      </w:r>
      <w:r>
        <w:rPr>
          <w:rStyle w:val="VerbatimChar"/>
        </w:rPr>
        <w:t xml:space="preserve">#/recent</w:t>
      </w:r>
      <w:r>
        <w:t xml:space="preserve"> </w:t>
      </w:r>
      <w:r>
        <w:t xml:space="preserve">listing pages the maintenance rotation has most recently touched; ⌘K search palette indexing case names, topic names, doctrine families, and lecture titles via</w:t>
      </w:r>
      <w:r>
        <w:t xml:space="preserve"> </w:t>
      </w:r>
      <w:r>
        <w:rPr>
          <w:rStyle w:val="VerbatimChar"/>
        </w:rPr>
        <w:t xml:space="preserve">.site/dist/search.json</w:t>
      </w:r>
      <w:r>
        <w:t xml:space="preserve">; four-family Topics grid and Cases area filter rail dispatched in</w:t>
      </w:r>
      <w:r>
        <w:t xml:space="preserve"> </w:t>
      </w:r>
      <w:r>
        <w:rPr>
          <w:rStyle w:val="VerbatimChar"/>
        </w:rPr>
        <w:t xml:space="preserve">.site/dist/app.js</w:t>
      </w:r>
      <w:r>
        <w:t xml:space="preserve">).</w:t>
      </w:r>
    </w:p>
  </w:footnote>
  <w:footnote w:id="49">
    <w:p>
      <w:pPr>
        <w:pStyle w:val="FootnoteText"/>
      </w:pPr>
      <w:r>
        <w:rPr>
          <w:rStyle w:val="FootnoteReference"/>
        </w:rPr>
        <w:footnoteRef/>
      </w:r>
      <w:r>
        <w:t xml:space="preserve"> </w:t>
      </w:r>
      <w:r>
        <w:rPr>
          <w:i/>
          <w:iCs/>
        </w:rPr>
        <w:t xml:space="preserve">See infra</w:t>
      </w:r>
      <w:r>
        <w:t xml:space="preserve"> </w:t>
      </w:r>
      <w:r>
        <w:t xml:space="preserve">App. F (Technical Setup) (Topics index</w:t>
      </w:r>
      <w:r>
        <w:t xml:space="preserve"> </w:t>
      </w:r>
      <w:r>
        <w:rPr>
          <w:rStyle w:val="VerbatimChar"/>
        </w:rPr>
        <w:t xml:space="preserve">#/topics</w:t>
      </w:r>
      <w:r>
        <w:t xml:space="preserve"> </w:t>
      </w:r>
      <w:r>
        <w:t xml:space="preserve">rendering a four-family grid keyed to the</w:t>
      </w:r>
      <w:r>
        <w:t xml:space="preserve"> </w:t>
      </w:r>
      <w:r>
        <w:rPr>
          <w:rStyle w:val="VerbatimChar"/>
        </w:rPr>
        <w:t xml:space="preserve">doctrine_family</w:t>
      </w:r>
      <w:r>
        <w:t xml:space="preserve"> </w:t>
      </w:r>
      <w:r>
        <w:t xml:space="preserve">enum, and Cases index</w:t>
      </w:r>
      <w:r>
        <w:t xml:space="preserve"> </w:t>
      </w:r>
      <w:r>
        <w:rPr>
          <w:rStyle w:val="VerbatimChar"/>
        </w:rPr>
        <w:t xml:space="preserve">#/cases</w:t>
      </w:r>
      <w:r>
        <w:t xml:space="preserve"> </w:t>
      </w:r>
      <w:r>
        <w:t xml:space="preserve">rendering a filter-rail-plus-year-blocks digest, both dispatched in</w:t>
      </w:r>
      <w:r>
        <w:t xml:space="preserve"> </w:t>
      </w:r>
      <w:r>
        <w:rPr>
          <w:rStyle w:val="VerbatimChar"/>
        </w:rPr>
        <w:t xml:space="preserve">.site/dist/app.js</w:t>
      </w:r>
      <w:r>
        <w:t xml:space="preserve">);</w:t>
      </w:r>
      <w:r>
        <w:t xml:space="preserve"> </w:t>
      </w:r>
      <w:r>
        <w:rPr>
          <w:i/>
          <w:iCs/>
        </w:rPr>
        <w:t xml:space="preserve">see also supra</w:t>
      </w:r>
      <w:r>
        <w:t xml:space="preserve"> </w:t>
      </w:r>
      <w:r>
        <w:t xml:space="preserve">Section V (Building the Obsidian Vault) (documenting the four-bucket</w:t>
      </w:r>
      <w:r>
        <w:t xml:space="preserve"> </w:t>
      </w:r>
      <w:r>
        <w:rPr>
          <w:rStyle w:val="VerbatimChar"/>
        </w:rPr>
        <w:t xml:space="preserve">doctrine_family</w:t>
      </w:r>
      <w:r>
        <w:t xml:space="preserve"> </w:t>
      </w:r>
      <w:r>
        <w:t xml:space="preserve">enum that drives the Topics grid).</w:t>
      </w:r>
    </w:p>
  </w:footnote>
  <w:footnote w:id="50">
    <w:p>
      <w:pPr>
        <w:pStyle w:val="FootnoteText"/>
      </w:pPr>
      <w:r>
        <w:rPr>
          <w:rStyle w:val="FootnoteReference"/>
        </w:rPr>
        <w:footnoteRef/>
      </w:r>
      <w:r>
        <w:t xml:space="preserve"> </w:t>
      </w:r>
      <w:r>
        <w:t xml:space="preserve">Figure 3.2 (capture pending, see PI-027) (deployed-site four-family Topics grid showing Federalism, Separation of Powers, Individual Rights, and Justiciability with their constituent Topic-page cards).</w:t>
      </w:r>
    </w:p>
  </w:footnote>
  <w:footnote w:id="51">
    <w:p>
      <w:pPr>
        <w:pStyle w:val="FootnoteText"/>
      </w:pPr>
      <w:r>
        <w:rPr>
          <w:rStyle w:val="FootnoteReference"/>
        </w:rPr>
        <w:footnoteRef/>
      </w:r>
      <w:r>
        <w:t xml:space="preserve"> </w:t>
      </w:r>
      <w:r>
        <w:rPr>
          <w:i/>
          <w:iCs/>
        </w:rPr>
        <w:t xml:space="preserve">See infra</w:t>
      </w:r>
      <w:r>
        <w:t xml:space="preserve"> </w:t>
      </w:r>
      <w:r>
        <w:t xml:space="preserve">App. C (Obsidian Note Templates) (</w:t>
      </w:r>
      <w:r>
        <w:rPr>
          <w:rStyle w:val="VerbatimChar"/>
        </w:rPr>
        <w:t xml:space="preserve">Topics/Commerce Clause.md</w:t>
      </w:r>
      <w:r>
        <w:t xml:space="preserve"> </w:t>
      </w:r>
      <w:r>
        <w:t xml:space="preserve">as the canonical Topic page, with Overview, Governing Rule blocks, Doctrinal Development section, Key Cases table, comparison matrix, Hypothetical Applications block, How-to-Spot-on-an-Exam framework, and four-paragraph Critique). The decisions referenced in the Governing Rule block are</w:t>
      </w:r>
      <w:r>
        <w:t xml:space="preserve"> </w:t>
      </w:r>
      <w:r>
        <w:rPr>
          <w:i/>
          <w:iCs/>
        </w:rPr>
        <w:t xml:space="preserve">Gibbons v. Ogden</w:t>
      </w:r>
      <w:r>
        <w:t xml:space="preserve">, 22 U.S. (9 Wheat.) 1 (1824);</w:t>
      </w:r>
      <w:r>
        <w:t xml:space="preserve"> </w:t>
      </w:r>
      <w:r>
        <w:rPr>
          <w:i/>
          <w:iCs/>
        </w:rPr>
        <w:t xml:space="preserve">NLRB v. Jones &amp; Laughlin Steel Corp.</w:t>
      </w:r>
      <w:r>
        <w:t xml:space="preserve">, 301 U.S. 1 (1937);</w:t>
      </w:r>
      <w:r>
        <w:t xml:space="preserve"> </w:t>
      </w:r>
      <w:r>
        <w:rPr>
          <w:i/>
          <w:iCs/>
        </w:rPr>
        <w:t xml:space="preserve">Wickard v. Filburn</w:t>
      </w:r>
      <w:r>
        <w:t xml:space="preserve">, 317 U.S. 111 (1942);</w:t>
      </w:r>
      <w:r>
        <w:t xml:space="preserve"> </w:t>
      </w:r>
      <w:r>
        <w:rPr>
          <w:i/>
          <w:iCs/>
        </w:rPr>
        <w:t xml:space="preserve">United States v. Lopez</w:t>
      </w:r>
      <w:r>
        <w:t xml:space="preserve">, 514 U.S. 549 (1995);</w:t>
      </w:r>
      <w:r>
        <w:t xml:space="preserve"> </w:t>
      </w:r>
      <w:r>
        <w:rPr>
          <w:i/>
          <w:iCs/>
        </w:rPr>
        <w:t xml:space="preserve">Gonzales v. Raich</w:t>
      </w:r>
      <w:r>
        <w:t xml:space="preserve">, 545 U.S. 1 (2005); and</w:t>
      </w:r>
      <w:r>
        <w:t xml:space="preserve"> </w:t>
      </w:r>
      <w:r>
        <w:rPr>
          <w:i/>
          <w:iCs/>
        </w:rPr>
        <w:t xml:space="preserve">Nat’l Fed’n of Indep. Bus. v. Sebelius</w:t>
      </w:r>
      <w:r>
        <w:t xml:space="preserve">, 567 U.S. 519 (2012).</w:t>
      </w:r>
    </w:p>
  </w:footnote>
  <w:footnote w:id="52">
    <w:p>
      <w:pPr>
        <w:pStyle w:val="FootnoteText"/>
      </w:pPr>
      <w:r>
        <w:rPr>
          <w:rStyle w:val="FootnoteReference"/>
        </w:rPr>
        <w:footnoteRef/>
      </w:r>
      <w:r>
        <w:t xml:space="preserve"> </w:t>
      </w:r>
      <w:r>
        <w:t xml:space="preserve">Figure 3.3 (capture pending, see PI-027) (deployed-site Commerce Clause Topic page showing the synthesis surfaces: Overview, Governing Rule blocks, Doctrinal Development arc, Key Cases table, and comparison matrix).</w:t>
      </w:r>
    </w:p>
  </w:footnote>
  <w:footnote w:id="54">
    <w:p>
      <w:pPr>
        <w:pStyle w:val="FootnoteText"/>
      </w:pPr>
      <w:r>
        <w:rPr>
          <w:rStyle w:val="FootnoteReference"/>
        </w:rPr>
        <w:footnoteRef/>
      </w:r>
      <w:r>
        <w:t xml:space="preserve"> </w:t>
      </w:r>
      <w:r>
        <w:rPr>
          <w:i/>
          <w:iCs/>
        </w:rPr>
        <w:t xml:space="preserve">See infra</w:t>
      </w:r>
      <w:r>
        <w:t xml:space="preserve"> </w:t>
      </w:r>
      <w:r>
        <w:t xml:space="preserve">App. C (Obsidian Note Templates) (</w:t>
      </w:r>
      <w:r>
        <w:rPr>
          <w:rStyle w:val="VerbatimChar"/>
        </w:rPr>
        <w:t xml:space="preserve">Cases/Marbury v Madison (1803).md</w:t>
      </w:r>
      <w:r>
        <w:t xml:space="preserve"> </w:t>
      </w:r>
      <w:r>
        <w:t xml:space="preserve">as the canonical Case brief, with the nine-section H2 sequence: Memory Jogger, Facts, Procedural History, Judicial Votes, Holding, Analysis, Hypothetical Applications, Critique, and Key Quotations; structured holding bar rendered above the prose carrying citation, court,</w:t>
      </w:r>
      <w:r>
        <w:t xml:space="preserve"> </w:t>
      </w:r>
      <w:r>
        <w:rPr>
          <w:rStyle w:val="VerbatimChar"/>
        </w:rPr>
        <w:t xml:space="preserve">doctrine_family</w:t>
      </w:r>
      <w:r>
        <w:t xml:space="preserve">,</w:t>
      </w:r>
      <w:r>
        <w:t xml:space="preserve"> </w:t>
      </w:r>
      <w:r>
        <w:rPr>
          <w:rStyle w:val="VerbatimChar"/>
        </w:rPr>
        <w:t xml:space="preserve">midpage_id</w:t>
      </w:r>
      <w:r>
        <w:t xml:space="preserve">, and</w:t>
      </w:r>
      <w:r>
        <w:t xml:space="preserve"> </w:t>
      </w:r>
      <w:r>
        <w:rPr>
          <w:rStyle w:val="VerbatimChar"/>
        </w:rPr>
        <w:t xml:space="preserve">applied_in</w:t>
      </w:r>
      <w:r>
        <w:t xml:space="preserve"> </w:t>
      </w:r>
      <w:r>
        <w:t xml:space="preserve">chain);</w:t>
      </w:r>
      <w:r>
        <w:t xml:space="preserve"> </w:t>
      </w:r>
      <w:r>
        <w:rPr>
          <w:i/>
          <w:iCs/>
        </w:rPr>
        <w:t xml:space="preserve">see also supra</w:t>
      </w:r>
      <w:r>
        <w:t xml:space="preserve"> </w:t>
      </w:r>
      <w:r>
        <w:t xml:space="preserve">Section V (Building the Obsidian Vault) (documenting the nine-section case-briefer template and the holding-bar frontmatter schema). The decision is</w:t>
      </w:r>
      <w:r>
        <w:t xml:space="preserve"> </w:t>
      </w:r>
      <w:r>
        <w:rPr>
          <w:i/>
          <w:iCs/>
        </w:rPr>
        <w:t xml:space="preserve">Marbury v. Madison</w:t>
      </w:r>
      <w:r>
        <w:t xml:space="preserve">, 5 U.S. (1 Cranch) 137 (1803); the four downstream cases named in body prose are</w:t>
      </w:r>
      <w:r>
        <w:t xml:space="preserve"> </w:t>
      </w:r>
      <w:r>
        <w:rPr>
          <w:i/>
          <w:iCs/>
        </w:rPr>
        <w:t xml:space="preserve">Martin v. Hunter’s Lessee</w:t>
      </w:r>
      <w:r>
        <w:t xml:space="preserve">, 14 U.S. (1 Wheat.) 304 (1816);</w:t>
      </w:r>
      <w:r>
        <w:t xml:space="preserve"> </w:t>
      </w:r>
      <w:r>
        <w:rPr>
          <w:i/>
          <w:iCs/>
        </w:rPr>
        <w:t xml:space="preserve">McCulloch v. Maryland</w:t>
      </w:r>
      <w:r>
        <w:t xml:space="preserve">, 17 U.S. (4 Wheat.) 316 (1819);</w:t>
      </w:r>
      <w:r>
        <w:t xml:space="preserve"> </w:t>
      </w:r>
      <w:r>
        <w:rPr>
          <w:i/>
          <w:iCs/>
        </w:rPr>
        <w:t xml:space="preserve">The Prize Cases</w:t>
      </w:r>
      <w:r>
        <w:t xml:space="preserve">, 67 U.S. (2 Black) 635 (1863); and</w:t>
      </w:r>
      <w:r>
        <w:t xml:space="preserve"> </w:t>
      </w:r>
      <w:r>
        <w:rPr>
          <w:i/>
          <w:iCs/>
        </w:rPr>
        <w:t xml:space="preserve">City of Boerne v. Flores</w:t>
      </w:r>
      <w:r>
        <w:t xml:space="preserve">, 521 U.S. 507 (1997).</w:t>
      </w:r>
    </w:p>
  </w:footnote>
  <w:footnote w:id="55">
    <w:p>
      <w:pPr>
        <w:pStyle w:val="FootnoteText"/>
      </w:pPr>
      <w:r>
        <w:rPr>
          <w:rStyle w:val="FootnoteReference"/>
        </w:rPr>
        <w:footnoteRef/>
      </w:r>
      <w:r>
        <w:t xml:space="preserve"> </w:t>
      </w:r>
      <w:r>
        <w:t xml:space="preserve">Figure 3.4 (capture pending, see PI-027) (deployed-site</w:t>
      </w:r>
      <w:r>
        <w:t xml:space="preserve"> </w:t>
      </w:r>
      <w:r>
        <w:rPr>
          <w:i/>
          <w:iCs/>
        </w:rPr>
        <w:t xml:space="preserve">Marbury v. Madison</w:t>
      </w:r>
      <w:r>
        <w:t xml:space="preserve"> </w:t>
      </w:r>
      <w:r>
        <w:t xml:space="preserve">Case brief with the structured holding bar rendered above the nine-section prose).</w:t>
      </w:r>
    </w:p>
  </w:footnote>
  <w:footnote w:id="56">
    <w:p>
      <w:pPr>
        <w:pStyle w:val="FootnoteText"/>
      </w:pPr>
      <w:r>
        <w:rPr>
          <w:rStyle w:val="FootnoteReference"/>
        </w:rPr>
        <w:footnoteRef/>
      </w:r>
      <w:r>
        <w:t xml:space="preserve"> </w:t>
      </w:r>
      <w:r>
        <w:rPr>
          <w:i/>
          <w:iCs/>
        </w:rPr>
        <w:t xml:space="preserve">See infra</w:t>
      </w:r>
      <w:r>
        <w:t xml:space="preserve"> </w:t>
      </w:r>
      <w:r>
        <w:t xml:space="preserve">App. C (Obsidian Note Templates) (</w:t>
      </w:r>
      <w:r>
        <w:rPr>
          <w:rStyle w:val="VerbatimChar"/>
        </w:rPr>
        <w:t xml:space="preserve">Lectures/Marbury v Madison - Judicial Review.md</w:t>
      </w:r>
      <w:r>
        <w:t xml:space="preserve"> </w:t>
      </w:r>
      <w:r>
        <w:t xml:space="preserve">as the canonical Lecture summary, with Professor Emphasis block compressing the classroom framing of</w:t>
      </w:r>
      <w:r>
        <w:t xml:space="preserve"> </w:t>
      </w:r>
      <w:r>
        <w:rPr>
          <w:i/>
          <w:iCs/>
        </w:rPr>
        <w:t xml:space="preserve">Marbury v. Madison</w:t>
      </w:r>
      <w:r>
        <w:t xml:space="preserve">, followed by a Lecture Outline walking the session in delivery order across Historical Setting, the Three-Question Structure, Right-Remedy Alignment, Political Question Doctrine seeds, Executive Privilege seeds, the Core Holding on judicial review, and a Why-</w:t>
      </w:r>
      <w:r>
        <w:rPr>
          <w:i/>
          <w:iCs/>
        </w:rPr>
        <w:t xml:space="preserve">Marbury</w:t>
      </w:r>
      <w:r>
        <w:t xml:space="preserve">-Is-Brilliant closing).</w:t>
      </w:r>
    </w:p>
  </w:footnote>
  <w:footnote w:id="57">
    <w:p>
      <w:pPr>
        <w:pStyle w:val="FootnoteText"/>
      </w:pPr>
      <w:r>
        <w:rPr>
          <w:rStyle w:val="FootnoteReference"/>
        </w:rPr>
        <w:footnoteRef/>
      </w:r>
      <w:r>
        <w:t xml:space="preserve"> </w:t>
      </w:r>
      <w:r>
        <w:rPr>
          <w:i/>
          <w:iCs/>
        </w:rPr>
        <w:t xml:space="preserve">See infra</w:t>
      </w:r>
      <w:r>
        <w:t xml:space="preserve"> </w:t>
      </w:r>
      <w:r>
        <w:t xml:space="preserve">App. C (Obsidian Note Templates) (Connections block in</w:t>
      </w:r>
      <w:r>
        <w:t xml:space="preserve"> </w:t>
      </w:r>
      <w:r>
        <w:rPr>
          <w:rStyle w:val="VerbatimChar"/>
        </w:rPr>
        <w:t xml:space="preserve">Cases/Marbury v Madison (1803).md</w:t>
      </w:r>
      <w:r>
        <w:t xml:space="preserve"> </w:t>
      </w:r>
      <w:r>
        <w:t xml:space="preserve">listing fifteen outbound wiki-link entries across four Topics, seven other Cases, and three Lectures, each rendered in the deployed shell as a clickable badge; wiki-link grammar</w:t>
      </w:r>
      <w:r>
        <w:t xml:space="preserve"> </w:t>
      </w:r>
      <w:r>
        <w:rPr>
          <w:rStyle w:val="VerbatimChar"/>
        </w:rPr>
        <w:t xml:space="preserve">[[folder/filename|Display Text]]</w:t>
      </w:r>
      <w:r>
        <w:t xml:space="preserve"> </w:t>
      </w:r>
      <w:r>
        <w:t xml:space="preserve">documented</w:t>
      </w:r>
      <w:r>
        <w:t xml:space="preserve"> </w:t>
      </w:r>
      <w:r>
        <w:rPr>
          <w:i/>
          <w:iCs/>
        </w:rPr>
        <w:t xml:space="preserve">supra</w:t>
      </w:r>
      <w:r>
        <w:t xml:space="preserve"> </w:t>
      </w:r>
      <w:r>
        <w:t xml:space="preserve">Section V); the case-to-case-to-case path from</w:t>
      </w:r>
      <w:r>
        <w:t xml:space="preserve"> </w:t>
      </w:r>
      <w:r>
        <w:rPr>
          <w:i/>
          <w:iCs/>
        </w:rPr>
        <w:t xml:space="preserve">Marbury v. Madison</w:t>
      </w:r>
      <w:r>
        <w:t xml:space="preserve">, 5 U.S. (1 Cranch) 137 (1803), through</w:t>
      </w:r>
      <w:r>
        <w:t xml:space="preserve"> </w:t>
      </w:r>
      <w:r>
        <w:rPr>
          <w:i/>
          <w:iCs/>
        </w:rPr>
        <w:t xml:space="preserve">Martin v. Hunter’s Lessee</w:t>
      </w:r>
      <w:r>
        <w:t xml:space="preserve">, 14 U.S. (1 Wheat.) 304 (1816), to</w:t>
      </w:r>
      <w:r>
        <w:t xml:space="preserve"> </w:t>
      </w:r>
      <w:r>
        <w:rPr>
          <w:i/>
          <w:iCs/>
        </w:rPr>
        <w:t xml:space="preserve">Cohens v. Virginia</w:t>
      </w:r>
      <w:r>
        <w:t xml:space="preserve">, 19 U.S. (6 Wheat.) 264 (1821), traces the doctrinal arc named in body prose.</w:t>
      </w:r>
    </w:p>
  </w:footnote>
  <w:footnote w:id="58">
    <w:p>
      <w:pPr>
        <w:pStyle w:val="FootnoteText"/>
      </w:pPr>
      <w:r>
        <w:rPr>
          <w:rStyle w:val="FootnoteReference"/>
        </w:rPr>
        <w:footnoteRef/>
      </w:r>
      <w:r>
        <w:t xml:space="preserve"> </w:t>
      </w:r>
      <w:r>
        <w:t xml:space="preserve">Figure 3.5 (capture pending, see PI-027) (deployed-site wiki-link Connections block on the</w:t>
      </w:r>
      <w:r>
        <w:t xml:space="preserve"> </w:t>
      </w:r>
      <w:r>
        <w:rPr>
          <w:i/>
          <w:iCs/>
        </w:rPr>
        <w:t xml:space="preserve">Marbury v. Madison</w:t>
      </w:r>
      <w:r>
        <w:t xml:space="preserve"> </w:t>
      </w:r>
      <w:r>
        <w:t xml:space="preserve">Case brief, with clickable badges spanning four Topics, seven Cases, and three Lectures).</w:t>
      </w:r>
    </w:p>
  </w:footnote>
  <w:footnote w:id="60">
    <w:p>
      <w:pPr>
        <w:pStyle w:val="FootnoteText"/>
      </w:pPr>
      <w:r>
        <w:rPr>
          <w:rStyle w:val="FootnoteReference"/>
        </w:rPr>
        <w:footnoteRef/>
      </w:r>
      <w:r>
        <w:t xml:space="preserve"> </w:t>
      </w:r>
      <w:r>
        <w:rPr>
          <w:i/>
          <w:iCs/>
        </w:rPr>
        <w:t xml:space="preserve">See infra</w:t>
      </w:r>
      <w:r>
        <w:t xml:space="preserve"> </w:t>
      </w:r>
      <w:r>
        <w:t xml:space="preserve">App. C (Obsidian Note Templates) (Hypothetical Applications block as a fixed three-bucket template on every populated Case brief and Topic page: two Same-Side hypotheticals coming out the way the canonical case did, two Opposite-Side hypotheticals flipping on a single distinguishing fact, and one Fence-Sitter genuinely contested under the doctrine’s current state, each closing with a one-sentence Why naming the controlling doctrinal move).</w:t>
      </w:r>
    </w:p>
  </w:footnote>
  <w:footnote w:id="61">
    <w:p>
      <w:pPr>
        <w:pStyle w:val="FootnoteText"/>
      </w:pPr>
      <w:r>
        <w:rPr>
          <w:rStyle w:val="FootnoteReference"/>
        </w:rPr>
        <w:footnoteRef/>
      </w:r>
      <w:r>
        <w:t xml:space="preserve"> </w:t>
      </w:r>
      <w:r>
        <w:t xml:space="preserve">Figure 3.6 (capture pending, see PI-027) (deployed-site Hypothetical Applications block on the Commerce Clause Topic page, showing the three-bucket arrangement across five worked examples).</w:t>
      </w:r>
    </w:p>
  </w:footnote>
  <w:footnote w:id="62">
    <w:p>
      <w:pPr>
        <w:pStyle w:val="FootnoteText"/>
      </w:pPr>
      <w:r>
        <w:rPr>
          <w:rStyle w:val="FootnoteReference"/>
        </w:rPr>
        <w:footnoteRef/>
      </w:r>
      <w:r>
        <w:t xml:space="preserve"> </w:t>
      </w:r>
      <w:r>
        <w:rPr>
          <w:i/>
          <w:iCs/>
        </w:rPr>
        <w:t xml:space="preserve">See infra</w:t>
      </w:r>
      <w:r>
        <w:t xml:space="preserve"> </w:t>
      </w:r>
      <w:r>
        <w:t xml:space="preserve">App. C (Obsidian Note Templates) (Hypothetical Applications block in</w:t>
      </w:r>
      <w:r>
        <w:t xml:space="preserve"> </w:t>
      </w:r>
      <w:r>
        <w:rPr>
          <w:rStyle w:val="VerbatimChar"/>
        </w:rPr>
        <w:t xml:space="preserve">Topics/Commerce Clause.md</w:t>
      </w:r>
      <w:r>
        <w:t xml:space="preserve">). The decisions cited as the doctrinal anchors for the five worked examples are</w:t>
      </w:r>
      <w:r>
        <w:t xml:space="preserve"> </w:t>
      </w:r>
      <w:r>
        <w:rPr>
          <w:i/>
          <w:iCs/>
        </w:rPr>
        <w:t xml:space="preserve">Nat’l Fed’n of Indep. Bus. v. Sebelius</w:t>
      </w:r>
      <w:r>
        <w:t xml:space="preserve">, 567 U.S. 519 (2012);</w:t>
      </w:r>
      <w:r>
        <w:t xml:space="preserve"> </w:t>
      </w:r>
      <w:r>
        <w:rPr>
          <w:i/>
          <w:iCs/>
        </w:rPr>
        <w:t xml:space="preserve">United States v. Lopez</w:t>
      </w:r>
      <w:r>
        <w:t xml:space="preserve">, 514 U.S. 549 (1995);</w:t>
      </w:r>
      <w:r>
        <w:t xml:space="preserve"> </w:t>
      </w:r>
      <w:r>
        <w:rPr>
          <w:i/>
          <w:iCs/>
        </w:rPr>
        <w:t xml:space="preserve">United States v. Morrison</w:t>
      </w:r>
      <w:r>
        <w:t xml:space="preserve">, 529 U.S. 598 (2000);</w:t>
      </w:r>
      <w:r>
        <w:t xml:space="preserve"> </w:t>
      </w:r>
      <w:r>
        <w:rPr>
          <w:i/>
          <w:iCs/>
        </w:rPr>
        <w:t xml:space="preserve">United States v. Darby</w:t>
      </w:r>
      <w:r>
        <w:t xml:space="preserve">, 312 U.S. 100 (1941); and</w:t>
      </w:r>
      <w:r>
        <w:t xml:space="preserve"> </w:t>
      </w:r>
      <w:r>
        <w:rPr>
          <w:i/>
          <w:iCs/>
        </w:rPr>
        <w:t xml:space="preserve">Gonzales v. Raich</w:t>
      </w:r>
      <w:r>
        <w:t xml:space="preserve">, 545 U.S. 1 (2005).</w:t>
      </w:r>
    </w:p>
  </w:footnote>
  <w:footnote w:id="63">
    <w:p>
      <w:pPr>
        <w:pStyle w:val="FootnoteText"/>
      </w:pPr>
      <w:r>
        <w:rPr>
          <w:rStyle w:val="FootnoteReference"/>
        </w:rPr>
        <w:footnoteRef/>
      </w:r>
      <w:r>
        <w:t xml:space="preserve"> </w:t>
      </w:r>
      <w:r>
        <w:rPr>
          <w:i/>
          <w:iCs/>
        </w:rPr>
        <w:t xml:space="preserve">See infra</w:t>
      </w:r>
      <w:r>
        <w:t xml:space="preserve"> </w:t>
      </w:r>
      <w:r>
        <w:t xml:space="preserve">App. C (Obsidian Note Templates) (Key Quotations block on every populated Case brief, with each pull-quote followed by a Midpage line-anchor URL of the form</w:t>
      </w:r>
      <w:r>
        <w:t xml:space="preserve"> </w:t>
      </w:r>
      <w:r>
        <w:rPr>
          <w:rStyle w:val="VerbatimChar"/>
        </w:rPr>
        <w:t xml:space="preserve">https://app.midpage.ai/document/&lt;slug&gt;-&lt;midpage_id&gt;?utm_source=mcp&amp;lines=&lt;line&gt;</w:t>
      </w:r>
      <w:r>
        <w:t xml:space="preserve"> </w:t>
      </w:r>
      <w:r>
        <w:t xml:space="preserve">resolving to the cited line of the indexed opinion);</w:t>
      </w:r>
      <w:r>
        <w:t xml:space="preserve"> </w:t>
      </w:r>
      <w:r>
        <w:rPr>
          <w:i/>
          <w:iCs/>
        </w:rPr>
        <w:t xml:space="preserve">see also supra</w:t>
      </w:r>
      <w:r>
        <w:t xml:space="preserve"> </w:t>
      </w:r>
      <w:r>
        <w:t xml:space="preserve">Section V (Building the Obsidian Vault) (documenting the Midpage line-anchor convention);</w:t>
      </w:r>
      <w:r>
        <w:t xml:space="preserve"> </w:t>
      </w:r>
      <w:r>
        <w:rPr>
          <w:i/>
          <w:iCs/>
        </w:rPr>
        <w:t xml:space="preserve">see also infra</w:t>
      </w:r>
      <w:r>
        <w:t xml:space="preserve"> </w:t>
      </w:r>
      <w:r>
        <w:t xml:space="preserve">Section VII (Iterative Improvement Under Professorial Control) (developing the iteration narrative from the</w:t>
      </w:r>
      <w:r>
        <w:t xml:space="preserve"> </w:t>
      </w:r>
      <w:r>
        <w:rPr>
          <w:i/>
          <w:iCs/>
        </w:rPr>
        <w:t xml:space="preserve">Prize Cases</w:t>
      </w:r>
      <w:r>
        <w:t xml:space="preserve"> </w:t>
      </w:r>
      <w:r>
        <w:t xml:space="preserve">failure story that produced the verify-against-the-indexed-opinion rule).</w:t>
      </w:r>
    </w:p>
  </w:footnote>
  <w:footnote w:id="64">
    <w:p>
      <w:pPr>
        <w:pStyle w:val="FootnoteText"/>
      </w:pPr>
      <w:r>
        <w:rPr>
          <w:rStyle w:val="FootnoteReference"/>
        </w:rPr>
        <w:footnoteRef/>
      </w:r>
      <w:r>
        <w:t xml:space="preserve"> </w:t>
      </w:r>
      <w:r>
        <w:rPr>
          <w:i/>
          <w:iCs/>
        </w:rPr>
        <w:t xml:space="preserve">See infra</w:t>
      </w:r>
      <w:r>
        <w:t xml:space="preserve"> </w:t>
      </w:r>
      <w:r>
        <w:t xml:space="preserve">App. C (Obsidian Note Templates) (five Midpage-linked Key Quotations on the</w:t>
      </w:r>
      <w:r>
        <w:t xml:space="preserve"> </w:t>
      </w:r>
      <w:r>
        <w:rPr>
          <w:i/>
          <w:iCs/>
        </w:rPr>
        <w:t xml:space="preserve">Marbury v. Madison</w:t>
      </w:r>
      <w:r>
        <w:t xml:space="preserve"> </w:t>
      </w:r>
      <w:r>
        <w:t xml:space="preserve">Case brief at Midpage lines 257, 250, 156, 156, and 248;</w:t>
      </w:r>
      <w:r>
        <w:t xml:space="preserve"> </w:t>
      </w:r>
      <w:r>
        <w:rPr>
          <w:i/>
          <w:iCs/>
        </w:rPr>
        <w:t xml:space="preserve">NFIB</w:t>
      </w:r>
      <w:r>
        <w:t xml:space="preserve"> </w:t>
      </w:r>
      <w:r>
        <w:t xml:space="preserve">Governing Rule block in</w:t>
      </w:r>
      <w:r>
        <w:t xml:space="preserve"> </w:t>
      </w:r>
      <w:r>
        <w:rPr>
          <w:rStyle w:val="VerbatimChar"/>
        </w:rPr>
        <w:t xml:space="preserve">Topics/Commerce Clause.md</w:t>
      </w:r>
      <w:r>
        <w:t xml:space="preserve"> </w:t>
      </w:r>
      <w:r>
        <w:t xml:space="preserve">linking the Roberts formulation to Midpage line 276). The verbatim formulation quoted in body prose is from</w:t>
      </w:r>
      <w:r>
        <w:t xml:space="preserve"> </w:t>
      </w:r>
      <w:r>
        <w:rPr>
          <w:i/>
          <w:iCs/>
        </w:rPr>
        <w:t xml:space="preserve">Nat’l Fed’n of Indep. Bus. v. Sebelius</w:t>
      </w:r>
      <w:r>
        <w:t xml:space="preserve">, 567 U.S. 519, 550 (2012) (opinion of Roberts, C.J.) (pin cite re-verified at run 207 via Midpage findInOpinion opinionId 809122, which places the verbatim sentence between the</w:t>
      </w:r>
      <w:r>
        <w:t xml:space="preserve"> </w:t>
      </w:r>
      <w:r>
        <w:rPr>
          <w:i/>
          <w:iCs/>
        </w:rPr>
        <w:t xml:space="preserve">550 and</w:t>
      </w:r>
      <w:r>
        <w:rPr>
          <w:i/>
          <w:iCs/>
        </w:rPr>
        <w:t xml:space="preserve"> </w:t>
      </w:r>
      <w:r>
        <w:t xml:space="preserve">551 star-pagination markers, correcting the prior 552 pin per PI-127).</w:t>
      </w:r>
    </w:p>
  </w:footnote>
  <w:footnote w:id="66">
    <w:p>
      <w:pPr>
        <w:pStyle w:val="FootnoteText"/>
      </w:pPr>
      <w:r>
        <w:rPr>
          <w:rStyle w:val="FootnoteReference"/>
        </w:rPr>
        <w:footnoteRef/>
      </w:r>
      <w:r>
        <w:t xml:space="preserve"> </w:t>
      </w:r>
      <w:r>
        <w:t xml:space="preserve">Ramteja Sajja, Yusuf Sermet, David M. Cwiertny &amp; Ibrahim Demir,</w:t>
      </w:r>
      <w:r>
        <w:t xml:space="preserve"> </w:t>
      </w:r>
      <w:r>
        <w:rPr>
          <w:i/>
          <w:iCs/>
        </w:rPr>
        <w:t xml:space="preserve">Platform-Independent and Curriculum-Oriented Intelligent Assistant for Higher Education</w:t>
      </w:r>
      <w:r>
        <w:t xml:space="preserve">, 20 Int’l J. Educ. Tech. Higher Educ., Art. 42 (2023), https://link.springer.com/article/10.1186/s41239-023-00412-7 (last visited May 17, 2026) (presenting a large-language-model-backed curriculum-oriented virtual teaching assistant deployable to any course as a conversational helper; cited here as the chatbot-architecture contrast at the user-experience level, the contrast Section XII develops in its architectural and risk-profile sides). What transfers from the cited intervention setting is the general value of curriculum-grounded retrieval; what does not transfer is the conversational implementation surface,</w:t>
      </w:r>
      <w:r>
        <w:t xml:space="preserve"> </w:t>
      </w:r>
      <w:r>
        <w:rPr>
          <w:i/>
          <w:iCs/>
        </w:rPr>
        <w:t xml:space="preserve">see supra</w:t>
      </w:r>
      <w:r>
        <w:t xml:space="preserve"> </w:t>
      </w:r>
      <w:r>
        <w:t xml:space="preserve">Section V note for the parallel transfer-of-inference framing for the Dong et al. KG-RAG anchor. URL liveness reused from Section VIII note 117 (verified live on May 17, 2026, via WebSearch and a follow-up workspace fetch returning 89,771 characters of live response).</w:t>
      </w:r>
    </w:p>
  </w:footnote>
  <w:footnote w:id="69">
    <w:p>
      <w:pPr>
        <w:pStyle w:val="FootnoteText"/>
      </w:pPr>
      <w:r>
        <w:rPr>
          <w:rStyle w:val="FootnoteReference"/>
        </w:rPr>
        <w:footnoteRef/>
      </w:r>
      <w:r>
        <w:t xml:space="preserve"> </w:t>
      </w:r>
      <w:r>
        <w:rPr>
          <w:i/>
          <w:iCs/>
        </w:rPr>
        <w:t xml:space="preserve">See infra</w:t>
      </w:r>
      <w:r>
        <w:t xml:space="preserve"> </w:t>
      </w:r>
      <w:r>
        <w:t xml:space="preserve">App. A (Input Inventory) (cataloguing course-issued materials for Constitutional Law I (Spring 2026) taught by Professor Chandler).</w:t>
      </w:r>
    </w:p>
  </w:footnote>
  <w:footnote w:id="70">
    <w:p>
      <w:pPr>
        <w:pStyle w:val="FootnoteText"/>
      </w:pPr>
      <w:r>
        <w:rPr>
          <w:rStyle w:val="FootnoteReference"/>
        </w:rPr>
        <w:footnoteRef/>
      </w:r>
      <w:r>
        <w:t xml:space="preserve"> </w:t>
      </w:r>
      <w:r>
        <w:rPr>
          <w:i/>
          <w:iCs/>
        </w:rPr>
        <w:t xml:space="preserve">Id.</w:t>
      </w:r>
      <w:r>
        <w:t xml:space="preserve"> </w:t>
      </w:r>
      <w:r>
        <w:t xml:space="preserve">The fourteen-topic enumeration names the structural-plus-rights subset taught in this one-semester sequence;</w:t>
      </w:r>
      <w:r>
        <w:t xml:space="preserve"> </w:t>
      </w:r>
      <w:r>
        <w:rPr>
          <w:i/>
          <w:iCs/>
        </w:rPr>
        <w:t xml:space="preserve">see also infra</w:t>
      </w:r>
      <w:r>
        <w:t xml:space="preserve"> </w:t>
      </w:r>
      <w:r>
        <w:t xml:space="preserve">Section X (taking up whether the method generalizes to other doctrinal areas and to fuller constitutional law sequences).</w:t>
      </w:r>
    </w:p>
  </w:footnote>
  <w:footnote w:id="71">
    <w:p>
      <w:pPr>
        <w:pStyle w:val="FootnoteText"/>
      </w:pPr>
      <w:r>
        <w:rPr>
          <w:rStyle w:val="FootnoteReference"/>
        </w:rPr>
        <w:footnoteRef/>
      </w:r>
      <w:r>
        <w:t xml:space="preserve"> </w:t>
      </w:r>
      <w:r>
        <w:rPr>
          <w:i/>
          <w:iCs/>
        </w:rPr>
        <w:t xml:space="preserve">See infra</w:t>
      </w:r>
      <w:r>
        <w:t xml:space="preserve"> </w:t>
      </w:r>
      <w:r>
        <w:t xml:space="preserve">App. A (Input Inventory) (filesystem audit of the Source Materials/ folder, Constitutional Law Vault (May 15, 2026)).</w:t>
      </w:r>
    </w:p>
  </w:footnote>
  <w:footnote w:id="72">
    <w:p>
      <w:pPr>
        <w:pStyle w:val="FootnoteText"/>
      </w:pPr>
      <w:r>
        <w:rPr>
          <w:rStyle w:val="FootnoteReference"/>
        </w:rPr>
        <w:footnoteRef/>
      </w:r>
      <w:r>
        <w:t xml:space="preserve"> </w:t>
      </w:r>
      <w:r>
        <w:t xml:space="preserve">The author’s understanding, subject to Professor Chandler’s confirmation, is that no casebook excerpts were ingested into the vault corpus; the course files inventoried in Section IV.B were authored or assembled by Professor Chandler. The Section XII.C analysis of how copyrighted casebook excerpts would be handled remains in the article as a contingent fallback should that understanding ever prove wrong, but is not the operative state of the May 2026 snapshot.</w:t>
      </w:r>
    </w:p>
  </w:footnote>
  <w:footnote w:id="73">
    <w:p>
      <w:pPr>
        <w:pStyle w:val="FootnoteText"/>
      </w:pPr>
      <w:r>
        <w:rPr>
          <w:rStyle w:val="FootnoteReference"/>
        </w:rPr>
        <w:footnoteRef/>
      </w:r>
      <w:r>
        <w:t xml:space="preserve"> </w:t>
      </w:r>
      <w:r>
        <w:rPr>
          <w:i/>
          <w:iCs/>
        </w:rPr>
        <w:t xml:space="preserve">See infra</w:t>
      </w:r>
      <w:r>
        <w:t xml:space="preserve"> </w:t>
      </w:r>
      <w:r>
        <w:t xml:space="preserve">Section III (describing the deployed review-ready static website and its review pipeline);</w:t>
      </w:r>
      <w:r>
        <w:t xml:space="preserve"> </w:t>
      </w:r>
      <w:r>
        <w:rPr>
          <w:i/>
          <w:iCs/>
        </w:rPr>
        <w:t xml:space="preserve">see also infra</w:t>
      </w:r>
      <w:r>
        <w:t xml:space="preserve"> </w:t>
      </w:r>
      <w:r>
        <w:t xml:space="preserve">Section XII (distinguishing the review-ready static website from chatbot architectures). For representative chatbot-tutor architectures against which the static-website contrast operates,</w:t>
      </w:r>
      <w:r>
        <w:t xml:space="preserve"> </w:t>
      </w:r>
      <w:r>
        <w:rPr>
          <w:i/>
          <w:iCs/>
        </w:rPr>
        <w:t xml:space="preserve">see also infra</w:t>
      </w:r>
      <w:r>
        <w:t xml:space="preserve"> </w:t>
      </w:r>
      <w:r>
        <w:t xml:space="preserve">Section V (citing Dong et al. KG-RAG and Peng et al. GraphRAG-survey for the structured-retrieval architectural insight);</w:t>
      </w:r>
      <w:r>
        <w:t xml:space="preserve"> </w:t>
      </w:r>
      <w:r>
        <w:rPr>
          <w:i/>
          <w:iCs/>
        </w:rPr>
        <w:t xml:space="preserve">see also infra</w:t>
      </w:r>
      <w:r>
        <w:t xml:space="preserve"> </w:t>
      </w:r>
      <w:r>
        <w:t xml:space="preserve">Section VIII (citing Sajja et al. as a single-platform chatbot-tutor exemplar). The transfer-of-inference framing is the architectural insight that structure-aware retrieval beats flat semantic similarity; the chatbot-tutor implementation surface does not transfer to the case study’s review-ready static publication form.</w:t>
      </w:r>
    </w:p>
  </w:footnote>
  <w:footnote w:id="75">
    <w:p>
      <w:pPr>
        <w:pStyle w:val="FootnoteText"/>
      </w:pPr>
      <w:r>
        <w:rPr>
          <w:rStyle w:val="FootnoteReference"/>
        </w:rPr>
        <w:footnoteRef/>
      </w:r>
      <w:r>
        <w:t xml:space="preserve"> </w:t>
      </w:r>
      <w:r>
        <w:rPr>
          <w:i/>
          <w:iCs/>
        </w:rPr>
        <w:t xml:space="preserve">See infra</w:t>
      </w:r>
      <w:r>
        <w:t xml:space="preserve"> </w:t>
      </w:r>
      <w:r>
        <w:t xml:space="preserve">App. A (Input Inventory) (Source Materials/Uploaded Media/ subfolder: one hundred thirty-five individual case-opinion PDFs as of filesystem audit (May 15, 2026)).</w:t>
      </w:r>
    </w:p>
  </w:footnote>
  <w:footnote w:id="76">
    <w:p>
      <w:pPr>
        <w:pStyle w:val="FootnoteText"/>
      </w:pPr>
      <w:r>
        <w:rPr>
          <w:rStyle w:val="FootnoteReference"/>
        </w:rPr>
        <w:footnoteRef/>
      </w:r>
      <w:r>
        <w:t xml:space="preserve"> </w:t>
      </w:r>
      <w:r>
        <w:rPr>
          <w:i/>
          <w:iCs/>
        </w:rPr>
        <w:t xml:space="preserve">Id.</w:t>
      </w:r>
      <w:r>
        <w:t xml:space="preserve"> </w:t>
      </w:r>
      <w:r>
        <w:t xml:space="preserve">(twelve merged-prefixed reading packets, including merged-incorporation.pdf and merged-equal-protection-limitations.pdf).</w:t>
      </w:r>
    </w:p>
  </w:footnote>
  <w:footnote w:id="77">
    <w:p>
      <w:pPr>
        <w:pStyle w:val="FootnoteText"/>
      </w:pPr>
      <w:r>
        <w:rPr>
          <w:rStyle w:val="FootnoteReference"/>
        </w:rPr>
        <w:footnoteRef/>
      </w:r>
      <w:r>
        <w:t xml:space="preserve"> </w:t>
      </w:r>
      <w:r>
        <w:rPr>
          <w:i/>
          <w:iCs/>
        </w:rPr>
        <w:t xml:space="preserve">Id.</w:t>
      </w:r>
      <w:r>
        <w:t xml:space="preserve"> </w:t>
      </w:r>
      <w:r>
        <w:t xml:space="preserve">(resources/ subfolder of eighty-one HTML files exported from the Canvas LMS; unfiled/Midterm_Rubric.pdf).</w:t>
      </w:r>
    </w:p>
  </w:footnote>
  <w:footnote w:id="78">
    <w:p>
      <w:pPr>
        <w:pStyle w:val="FootnoteText"/>
      </w:pPr>
      <w:r>
        <w:rPr>
          <w:rStyle w:val="FootnoteReference"/>
        </w:rPr>
        <w:footnoteRef/>
      </w:r>
      <w:r>
        <w:t xml:space="preserve"> </w:t>
      </w:r>
      <w:r>
        <w:rPr>
          <w:i/>
          <w:iCs/>
        </w:rPr>
        <w:t xml:space="preserve">See infra</w:t>
      </w:r>
      <w:r>
        <w:t xml:space="preserve"> </w:t>
      </w:r>
      <w:r>
        <w:t xml:space="preserve">App. A (Input Inventory) (filesystem audit of files containing the modernized tag in filenames across Source Materials/ and Source Materials/Uploaded Media/ (May 15, 2026)).</w:t>
      </w:r>
    </w:p>
  </w:footnote>
  <w:footnote w:id="79">
    <w:p>
      <w:pPr>
        <w:pStyle w:val="FootnoteText"/>
      </w:pPr>
      <w:r>
        <w:rPr>
          <w:rStyle w:val="FootnoteReference"/>
        </w:rPr>
        <w:footnoteRef/>
      </w:r>
      <w:r>
        <w:t xml:space="preserve"> </w:t>
      </w:r>
      <w:r>
        <w:rPr>
          <w:i/>
          <w:iCs/>
        </w:rPr>
        <w:t xml:space="preserve">Id.</w:t>
      </w:r>
    </w:p>
  </w:footnote>
  <w:footnote w:id="80">
    <w:p>
      <w:pPr>
        <w:pStyle w:val="FootnoteText"/>
      </w:pPr>
      <w:r>
        <w:rPr>
          <w:rStyle w:val="FootnoteReference"/>
        </w:rPr>
        <w:footnoteRef/>
      </w:r>
      <w:r>
        <w:t xml:space="preserve"> </w:t>
      </w:r>
      <w:r>
        <w:rPr>
          <w:i/>
          <w:iCs/>
        </w:rPr>
        <w:t xml:space="preserve">See infra</w:t>
      </w:r>
      <w:r>
        <w:t xml:space="preserve"> </w:t>
      </w:r>
      <w:r>
        <w:t xml:space="preserve">App. A (Input Inventory) (Source Materials/Uploaded Media/Final Exam Constitutional Law Fall 2023.pdf; Constitutional Law Final Exam Spring 2025 (Reduced).pdf; TEFA_Exam_Question.docx.pdf; and Source Materials/unfiled/Midterm_Rubric.pdf).</w:t>
      </w:r>
    </w:p>
  </w:footnote>
  <w:footnote w:id="82">
    <w:p>
      <w:pPr>
        <w:pStyle w:val="FootnoteText"/>
      </w:pPr>
      <w:r>
        <w:rPr>
          <w:rStyle w:val="FootnoteReference"/>
        </w:rPr>
        <w:footnoteRef/>
      </w:r>
      <w:r>
        <w:t xml:space="preserve"> </w:t>
      </w:r>
      <w:r>
        <w:rPr>
          <w:i/>
          <w:iCs/>
        </w:rPr>
        <w:t xml:space="preserve">See infra</w:t>
      </w:r>
      <w:r>
        <w:t xml:space="preserve"> </w:t>
      </w:r>
      <w:r>
        <w:t xml:space="preserve">App. A (Input Inventory) (Missing-from-Export subsection). The ten opinions referenced are:</w:t>
      </w:r>
      <w:r>
        <w:t xml:space="preserve"> </w:t>
      </w:r>
      <w:r>
        <w:rPr>
          <w:i/>
          <w:iCs/>
        </w:rPr>
        <w:t xml:space="preserve">Cohens v. Virginia</w:t>
      </w:r>
      <w:r>
        <w:t xml:space="preserve">, 19 U.S. (6 Wheat.) 264 (1821);</w:t>
      </w:r>
      <w:r>
        <w:t xml:space="preserve"> </w:t>
      </w:r>
      <w:r>
        <w:rPr>
          <w:i/>
          <w:iCs/>
        </w:rPr>
        <w:t xml:space="preserve">United States v. Cruikshank</w:t>
      </w:r>
      <w:r>
        <w:t xml:space="preserve">, 92 U.S. 542 (1876);</w:t>
      </w:r>
      <w:r>
        <w:t xml:space="preserve"> </w:t>
      </w:r>
      <w:r>
        <w:rPr>
          <w:i/>
          <w:iCs/>
        </w:rPr>
        <w:t xml:space="preserve">Wickard v. Filburn</w:t>
      </w:r>
      <w:r>
        <w:t xml:space="preserve">, 317 U.S. 111 (1942);</w:t>
      </w:r>
      <w:r>
        <w:t xml:space="preserve"> </w:t>
      </w:r>
      <w:r>
        <w:rPr>
          <w:i/>
          <w:iCs/>
        </w:rPr>
        <w:t xml:space="preserve">Adamson v. California</w:t>
      </w:r>
      <w:r>
        <w:t xml:space="preserve">, 332 U.S. 46 (1947);</w:t>
      </w:r>
      <w:r>
        <w:t xml:space="preserve"> </w:t>
      </w:r>
      <w:r>
        <w:rPr>
          <w:i/>
          <w:iCs/>
        </w:rPr>
        <w:t xml:space="preserve">Baker v. Carr</w:t>
      </w:r>
      <w:r>
        <w:t xml:space="preserve">, 369 U.S. 186 (1962);</w:t>
      </w:r>
      <w:r>
        <w:t xml:space="preserve"> </w:t>
      </w:r>
      <w:r>
        <w:rPr>
          <w:i/>
          <w:iCs/>
        </w:rPr>
        <w:t xml:space="preserve">USDA v. Moreno</w:t>
      </w:r>
      <w:r>
        <w:t xml:space="preserve">, 413 U.S. 528 (1973);</w:t>
      </w:r>
      <w:r>
        <w:t xml:space="preserve"> </w:t>
      </w:r>
      <w:r>
        <w:rPr>
          <w:i/>
          <w:iCs/>
        </w:rPr>
        <w:t xml:space="preserve">South Dakota v. Dole</w:t>
      </w:r>
      <w:r>
        <w:t xml:space="preserve">, 483 U.S. 203 (1987);</w:t>
      </w:r>
      <w:r>
        <w:t xml:space="preserve"> </w:t>
      </w:r>
      <w:r>
        <w:rPr>
          <w:i/>
          <w:iCs/>
        </w:rPr>
        <w:t xml:space="preserve">United States v. Lopez</w:t>
      </w:r>
      <w:r>
        <w:t xml:space="preserve">, 514 U.S. 549 (1995);</w:t>
      </w:r>
      <w:r>
        <w:t xml:space="preserve"> </w:t>
      </w:r>
      <w:r>
        <w:rPr>
          <w:i/>
          <w:iCs/>
        </w:rPr>
        <w:t xml:space="preserve">United States v. Morrison</w:t>
      </w:r>
      <w:r>
        <w:t xml:space="preserve">, 529 U.S. 598 (2000); and</w:t>
      </w:r>
      <w:r>
        <w:t xml:space="preserve"> </w:t>
      </w:r>
      <w:r>
        <w:rPr>
          <w:i/>
          <w:iCs/>
        </w:rPr>
        <w:t xml:space="preserve">Hamdi v. Rumsfeld</w:t>
      </w:r>
      <w:r>
        <w:t xml:space="preserve">, 542 U.S. 507 (2004).</w:t>
      </w:r>
    </w:p>
  </w:footnote>
  <w:footnote w:id="83">
    <w:p>
      <w:pPr>
        <w:pStyle w:val="FootnoteText"/>
      </w:pPr>
      <w:r>
        <w:rPr>
          <w:rStyle w:val="FootnoteReference"/>
        </w:rPr>
        <w:footnoteRef/>
      </w:r>
      <w:r>
        <w:t xml:space="preserve"> </w:t>
      </w:r>
      <w:r>
        <w:rPr>
          <w:i/>
          <w:iCs/>
        </w:rPr>
        <w:t xml:space="preserve">See infra</w:t>
      </w:r>
      <w:r>
        <w:t xml:space="preserve"> </w:t>
      </w:r>
      <w:r>
        <w:t xml:space="preserve">App. A (Input Inventory) (Missing-from-Export subsection: wiki briefs for the ten listed opinions present in the vault’s Cases/ folder as of the May 15, 2026 filesystem audit). The wiki briefs were generated against an indexed-opinion source described</w:t>
      </w:r>
      <w:r>
        <w:t xml:space="preserve"> </w:t>
      </w:r>
      <w:r>
        <w:rPr>
          <w:i/>
          <w:iCs/>
        </w:rPr>
        <w:t xml:space="preserve">infra</w:t>
      </w:r>
      <w:r>
        <w:t xml:space="preserve"> </w:t>
      </w:r>
      <w:r>
        <w:t xml:space="preserve">Section V; the deployed-site URL anchoring the published versions is named in body prose at Section VIII.A and footnoted at</w:t>
      </w:r>
      <w:r>
        <w:t xml:space="preserve"> </w:t>
      </w:r>
      <w:r>
        <w:rPr>
          <w:i/>
          <w:iCs/>
        </w:rPr>
        <w:t xml:space="preserve">infra</w:t>
      </w:r>
      <w:r>
        <w:t xml:space="preserve"> </w:t>
      </w:r>
      <w:r>
        <w:t xml:space="preserve">Section VIII note 103.</w:t>
      </w:r>
    </w:p>
  </w:footnote>
  <w:footnote w:id="84">
    <w:p>
      <w:pPr>
        <w:pStyle w:val="FootnoteText"/>
      </w:pPr>
      <w:r>
        <w:rPr>
          <w:rStyle w:val="FootnoteReference"/>
        </w:rPr>
        <w:footnoteRef/>
      </w:r>
      <w:r>
        <w:t xml:space="preserve"> </w:t>
      </w:r>
      <w:r>
        <w:t xml:space="preserve">The author’s understanding, subject to Professor Chandler’s confirmation, is that the course files inventoried in Section IV.B were authored or assembled by Professor Chandler and that no casebook excerpts were ingested into the vault corpus. Section XII.C’s analysis of how copyrighted casebook excerpts would be handled remains in the article as a contingent fallback should that understanding ever prove wrong, but is not the operative state of the May 2026 snapshot.</w:t>
      </w:r>
    </w:p>
  </w:footnote>
  <w:footnote w:id="85">
    <w:p>
      <w:pPr>
        <w:pStyle w:val="FootnoteText"/>
      </w:pPr>
      <w:r>
        <w:rPr>
          <w:rStyle w:val="FootnoteReference"/>
        </w:rPr>
        <w:footnoteRef/>
      </w:r>
      <w:r>
        <w:t xml:space="preserve"> </w:t>
      </w:r>
      <w:r>
        <w:t xml:space="preserve">The author’s understanding, subject to Professor Chandler’s confirmation, is that no student assessment artifact or student-submitted work was ingested into the vault as training or generation input; the only third-party-authored content the corpus contains is review-session materials prepared by teaching assistants, treated below in Section XII.D as a teaching-aid authorship and attribution matter rather than as a student-data privacy matter.</w:t>
      </w:r>
    </w:p>
  </w:footnote>
  <w:footnote w:id="87">
    <w:p>
      <w:pPr>
        <w:pStyle w:val="FootnoteText"/>
      </w:pPr>
      <w:r>
        <w:rPr>
          <w:rStyle w:val="FootnoteReference"/>
        </w:rPr>
        <w:footnoteRef/>
      </w:r>
      <w:r>
        <w:t xml:space="preserve"> </w:t>
      </w:r>
      <w:r>
        <w:rPr>
          <w:i/>
          <w:iCs/>
        </w:rPr>
        <w:t xml:space="preserve">See infra</w:t>
      </w:r>
      <w:r>
        <w:t xml:space="preserve"> </w:t>
      </w:r>
      <w:r>
        <w:t xml:space="preserve">App. A (Input Inventory) (filename sample drawn from a directory listing of Source Materials/ on May 15, 2026).</w:t>
      </w:r>
    </w:p>
  </w:footnote>
  <w:footnote w:id="89">
    <w:p>
      <w:pPr>
        <w:pStyle w:val="FootnoteText"/>
      </w:pPr>
      <w:r>
        <w:rPr>
          <w:rStyle w:val="FootnoteReference"/>
        </w:rPr>
        <w:footnoteRef/>
      </w:r>
      <w:r>
        <w:t xml:space="preserve"> </w:t>
      </w:r>
      <w:r>
        <w:rPr>
          <w:i/>
          <w:iCs/>
        </w:rPr>
        <w:t xml:space="preserve">See infra</w:t>
      </w:r>
      <w:r>
        <w:t xml:space="preserve"> </w:t>
      </w:r>
      <w:r>
        <w:t xml:space="preserve">App. A (Input Inventory) (Vault Output Snapshot subsection: one hundred ninety-eight wiki pages as of the progress-report date, comprising ninety-two case briefs, twenty-seven doctrinal topic pages, and seventy-nine lecture summaries).</w:t>
      </w:r>
    </w:p>
  </w:footnote>
  <w:footnote w:id="90">
    <w:p>
      <w:pPr>
        <w:pStyle w:val="FootnoteText"/>
      </w:pPr>
      <w:r>
        <w:rPr>
          <w:rStyle w:val="FootnoteReference"/>
        </w:rPr>
        <w:footnoteRef/>
      </w:r>
      <w:r>
        <w:t xml:space="preserve"> </w:t>
      </w:r>
      <w:r>
        <w:rPr>
          <w:i/>
          <w:iCs/>
        </w:rPr>
        <w:t xml:space="preserve">See infra</w:t>
      </w:r>
      <w:r>
        <w:t xml:space="preserve"> </w:t>
      </w:r>
      <w:r>
        <w:t xml:space="preserve">App. A (Input Inventory) (filesystem audit of May 15, 2026: one hundred thirty-one case briefs, fifty-three doctrinal topic pages, and ninety-seven lecture summaries, totaling two hundred eighty-one pages).</w:t>
      </w:r>
    </w:p>
  </w:footnote>
  <w:footnote w:id="91">
    <w:p>
      <w:pPr>
        <w:pStyle w:val="FootnoteText"/>
      </w:pPr>
      <w:r>
        <w:rPr>
          <w:rStyle w:val="FootnoteReference"/>
        </w:rPr>
        <w:footnoteRef/>
      </w:r>
      <w:r>
        <w:t xml:space="preserve"> </w:t>
      </w:r>
      <w:r>
        <w:rPr>
          <w:i/>
          <w:iCs/>
        </w:rPr>
        <w:t xml:space="preserve">See also infra</w:t>
      </w:r>
      <w:r>
        <w:t xml:space="preserve"> </w:t>
      </w:r>
      <w:r>
        <w:t xml:space="preserve">Section IX (Cost and Labor: The Honest Accounting) (master cost-and-labor table; ingest-phase line item closes through that table per the article’s single-owner cost-routing convention).</w:t>
      </w:r>
    </w:p>
  </w:footnote>
  <w:footnote w:id="92">
    <w:p>
      <w:pPr>
        <w:pStyle w:val="FootnoteText"/>
      </w:pPr>
      <w:r>
        <w:rPr>
          <w:rStyle w:val="FootnoteReference"/>
        </w:rPr>
        <w:footnoteRef/>
      </w:r>
      <w:r>
        <w:t xml:space="preserve"> </w:t>
      </w:r>
      <w:r>
        <w:t xml:space="preserve">The recommended snapshot is the professor-facing progress report’s date that records the one hundred ninety-eight-page output state; final sign-off on the snapshot selection awaits professorial review.</w:t>
      </w:r>
    </w:p>
  </w:footnote>
  <w:footnote w:id="95">
    <w:p>
      <w:pPr>
        <w:pStyle w:val="FootnoteText"/>
      </w:pPr>
      <w:r>
        <w:rPr>
          <w:rStyle w:val="FootnoteReference"/>
        </w:rPr>
        <w:footnoteRef/>
      </w:r>
      <w:r>
        <w:t xml:space="preserve"> </w:t>
      </w:r>
      <w:r>
        <w:rPr>
          <w:i/>
          <w:iCs/>
        </w:rPr>
        <w:t xml:space="preserve">See infra</w:t>
      </w:r>
      <w:r>
        <w:t xml:space="preserve"> </w:t>
      </w:r>
      <w:r>
        <w:t xml:space="preserve">App. A (Input Inventory) (Cases/, Topics/, and Lectures/ as the three first-class content folders, each backed by a canonical template in Templates/; Source Materials/ as read-only input; rubric/ as per-phase scoring criteria; archive/ as rotated narrative logs).</w:t>
      </w:r>
    </w:p>
  </w:footnote>
  <w:footnote w:id="96">
    <w:p>
      <w:pPr>
        <w:pStyle w:val="FootnoteText"/>
      </w:pPr>
      <w:r>
        <w:rPr>
          <w:rStyle w:val="FootnoteReference"/>
        </w:rPr>
        <w:footnoteRef/>
      </w:r>
      <w:r>
        <w:t xml:space="preserve"> </w:t>
      </w:r>
      <w:r>
        <w:rPr>
          <w:i/>
          <w:iCs/>
        </w:rPr>
        <w:t xml:space="preserve">See infra</w:t>
      </w:r>
      <w:r>
        <w:t xml:space="preserve"> </w:t>
      </w:r>
      <w:r>
        <w:t xml:space="preserve">App. A (Input Inventory) (filename, H1, and frontmatter case_name three-way invariant for Cases, with no periods and “and” rather than “&amp;”; parallel rule for Topics/Topic Name.md and Lectures/Lecture Title.md).</w:t>
      </w:r>
    </w:p>
  </w:footnote>
  <w:footnote w:id="98">
    <w:p>
      <w:pPr>
        <w:pStyle w:val="FootnoteText"/>
      </w:pPr>
      <w:r>
        <w:rPr>
          <w:rStyle w:val="FootnoteReference"/>
        </w:rPr>
        <w:footnoteRef/>
      </w:r>
      <w:r>
        <w:t xml:space="preserve"> </w:t>
      </w:r>
      <w:r>
        <w:rPr>
          <w:i/>
          <w:iCs/>
        </w:rPr>
        <w:t xml:space="preserve">See infra</w:t>
      </w:r>
      <w:r>
        <w:t xml:space="preserve"> </w:t>
      </w:r>
      <w:r>
        <w:t xml:space="preserve">App. C (Obsidian Note Templates) (Case Brief template YAML frontmatter, with approximately thirty fields including doctrines, concepts, citation, argued, decided, author, vote, disposition, midpage_id, midpage_url, cited_by, verified, source_files, issue, holding, reasoning, doctrine_family, relies_on, distinguishes, applied_in, overrules, and overruled_by).</w:t>
      </w:r>
    </w:p>
  </w:footnote>
  <w:footnote w:id="99">
    <w:p>
      <w:pPr>
        <w:pStyle w:val="FootnoteText"/>
      </w:pPr>
      <w:r>
        <w:rPr>
          <w:rStyle w:val="FootnoteReference"/>
        </w:rPr>
        <w:footnoteRef/>
      </w:r>
      <w:r>
        <w:t xml:space="preserve"> </w:t>
      </w:r>
      <w:r>
        <w:rPr>
          <w:i/>
          <w:iCs/>
        </w:rPr>
        <w:t xml:space="preserve">See infra</w:t>
      </w:r>
      <w:r>
        <w:t xml:space="preserve"> </w:t>
      </w:r>
      <w:r>
        <w:t xml:space="preserve">fig. 5.1 (</w:t>
      </w:r>
      <w:r>
        <w:rPr>
          <w:i/>
          <w:iCs/>
        </w:rPr>
        <w:t xml:space="preserve">Marbury v. Madison</w:t>
      </w:r>
      <w:r>
        <w:t xml:space="preserve"> </w:t>
      </w:r>
      <w:r>
        <w:t xml:space="preserve">(1803) case brief open in Obsidian Live Preview, the typed-properties panel rendering the YAML frontmatter as structured fields, including case_name, citation, doctrine_family, midpage_id, source_files, and a six-entry applied_in list; captured from the source Obsidian vault May 26, 2026).</w:t>
      </w:r>
    </w:p>
  </w:footnote>
  <w:footnote w:id="100">
    <w:p>
      <w:pPr>
        <w:pStyle w:val="FootnoteText"/>
      </w:pPr>
      <w:r>
        <w:rPr>
          <w:rStyle w:val="FootnoteReference"/>
        </w:rPr>
        <w:footnoteRef/>
      </w:r>
      <w:r>
        <w:t xml:space="preserve"> </w:t>
      </w:r>
      <w:r>
        <w:rPr>
          <w:i/>
          <w:iCs/>
        </w:rPr>
        <w:t xml:space="preserve">See infra</w:t>
      </w:r>
      <w:r>
        <w:t xml:space="preserve"> </w:t>
      </w:r>
      <w:r>
        <w:t xml:space="preserve">App. C (Obsidian Note Templates) (Case Brief template H2 sequence: Memory Jogger; Facts; Procedural History; Judicial Votes; Holding; Analysis, with required Majority subsection and optional Concurrence and Dissent subsections; Hypothetical Applications, with Same-Side, Opposite-Side, and Fence-Sitter subsections totaling five hypotheticals; Critique; Key Quotations; Key Points; Connections; Sources).</w:t>
      </w:r>
    </w:p>
  </w:footnote>
  <w:footnote w:id="101">
    <w:p>
      <w:pPr>
        <w:pStyle w:val="FootnoteText"/>
      </w:pPr>
      <w:r>
        <w:rPr>
          <w:rStyle w:val="FootnoteReference"/>
        </w:rPr>
        <w:footnoteRef/>
      </w:r>
      <w:r>
        <w:t xml:space="preserve"> </w:t>
      </w:r>
      <w:r>
        <w:rPr>
          <w:i/>
          <w:iCs/>
        </w:rPr>
        <w:t xml:space="preserve">See infra</w:t>
      </w:r>
      <w:r>
        <w:t xml:space="preserve"> </w:t>
      </w:r>
      <w:r>
        <w:t xml:space="preserve">App. C (Obsidian Note Templates) (frontmatter snapshot of Cases/Marbury v Madison (1803).md, verified April 24, 2026, capturing midpage_id ‘84759’, cited_by 3,995 (sourced from CourtListener find_citing_cases), six-entry applied_in list naming</w:t>
      </w:r>
      <w:r>
        <w:t xml:space="preserve"> </w:t>
      </w:r>
      <w:r>
        <w:rPr>
          <w:i/>
          <w:iCs/>
        </w:rPr>
        <w:t xml:space="preserve">Martin v. Hunter’s Lessee</w:t>
      </w:r>
      <w:r>
        <w:t xml:space="preserve">,</w:t>
      </w:r>
      <w:r>
        <w:t xml:space="preserve"> </w:t>
      </w:r>
      <w:r>
        <w:rPr>
          <w:i/>
          <w:iCs/>
        </w:rPr>
        <w:t xml:space="preserve">McCulloch v. Maryland</w:t>
      </w:r>
      <w:r>
        <w:t xml:space="preserve">,</w:t>
      </w:r>
      <w:r>
        <w:t xml:space="preserve"> </w:t>
      </w:r>
      <w:r>
        <w:rPr>
          <w:i/>
          <w:iCs/>
        </w:rPr>
        <w:t xml:space="preserve">The Prize Cases</w:t>
      </w:r>
      <w:r>
        <w:t xml:space="preserve">,</w:t>
      </w:r>
      <w:r>
        <w:t xml:space="preserve"> </w:t>
      </w:r>
      <w:r>
        <w:rPr>
          <w:i/>
          <w:iCs/>
        </w:rPr>
        <w:t xml:space="preserve">United States v. Rahimi</w:t>
      </w:r>
      <w:r>
        <w:t xml:space="preserve">,</w:t>
      </w:r>
      <w:r>
        <w:t xml:space="preserve"> </w:t>
      </w:r>
      <w:r>
        <w:rPr>
          <w:i/>
          <w:iCs/>
        </w:rPr>
        <w:t xml:space="preserve">Cohens v. Virginia</w:t>
      </w:r>
      <w:r>
        <w:t xml:space="preserve">, and</w:t>
      </w:r>
      <w:r>
        <w:t xml:space="preserve"> </w:t>
      </w:r>
      <w:r>
        <w:rPr>
          <w:i/>
          <w:iCs/>
        </w:rPr>
        <w:t xml:space="preserve">City of Boerne v. Flores</w:t>
      </w:r>
      <w:r>
        <w:t xml:space="preserve">, and doctrine_family Separation of Powers).</w:t>
      </w:r>
    </w:p>
  </w:footnote>
  <w:footnote w:id="102">
    <w:p>
      <w:pPr>
        <w:pStyle w:val="FootnoteText"/>
      </w:pPr>
      <w:r>
        <w:rPr>
          <w:rStyle w:val="FootnoteReference"/>
        </w:rPr>
        <w:footnoteRef/>
      </w:r>
      <w:r>
        <w:t xml:space="preserve"> </w:t>
      </w:r>
      <w:r>
        <w:rPr>
          <w:i/>
          <w:iCs/>
        </w:rPr>
        <w:t xml:space="preserve">See infra</w:t>
      </w:r>
      <w:r>
        <w:t xml:space="preserve"> </w:t>
      </w:r>
      <w:r>
        <w:t xml:space="preserve">Section III (Case Study: A Constitutional-Law Knowledge System) (figure showing the holding-bar block rendered as a structured banner above case prose on the deployed site; figure capture pending, see PI-012).</w:t>
      </w:r>
    </w:p>
  </w:footnote>
  <w:footnote w:id="104">
    <w:p>
      <w:pPr>
        <w:pStyle w:val="FootnoteText"/>
      </w:pPr>
      <w:r>
        <w:rPr>
          <w:rStyle w:val="FootnoteReference"/>
        </w:rPr>
        <w:footnoteRef/>
      </w:r>
      <w:r>
        <w:t xml:space="preserve"> </w:t>
      </w:r>
      <w:r>
        <w:rPr>
          <w:i/>
          <w:iCs/>
        </w:rPr>
        <w:t xml:space="preserve">See infra</w:t>
      </w:r>
      <w:r>
        <w:t xml:space="preserve"> </w:t>
      </w:r>
      <w:r>
        <w:t xml:space="preserve">App. C (Obsidian Note Templates) (Topic Page template structure: Overview; Governing Rule; Doctrinal Development; Key Cases table; Hypothetical Applications; exam-spotting framework; Critique).</w:t>
      </w:r>
    </w:p>
  </w:footnote>
  <w:footnote w:id="105">
    <w:p>
      <w:pPr>
        <w:pStyle w:val="FootnoteText"/>
      </w:pPr>
      <w:r>
        <w:rPr>
          <w:rStyle w:val="FootnoteReference"/>
        </w:rPr>
        <w:footnoteRef/>
      </w:r>
      <w:r>
        <w:t xml:space="preserve"> </w:t>
      </w:r>
      <w:r>
        <w:rPr>
          <w:i/>
          <w:iCs/>
        </w:rPr>
        <w:t xml:space="preserve">See infra</w:t>
      </w:r>
      <w:r>
        <w:t xml:space="preserve"> </w:t>
      </w:r>
      <w:r>
        <w:t xml:space="preserve">App. C (Obsidian Note Templates) (Topics/Judicial Review.md frontmatter key_cases list naming</w:t>
      </w:r>
      <w:r>
        <w:t xml:space="preserve"> </w:t>
      </w:r>
      <w:r>
        <w:rPr>
          <w:i/>
          <w:iCs/>
        </w:rPr>
        <w:t xml:space="preserve">Marbury v. Madison</w:t>
      </w:r>
      <w:r>
        <w:t xml:space="preserve"> </w:t>
      </w:r>
      <w:r>
        <w:t xml:space="preserve">(1803),</w:t>
      </w:r>
      <w:r>
        <w:t xml:space="preserve"> </w:t>
      </w:r>
      <w:r>
        <w:rPr>
          <w:i/>
          <w:iCs/>
        </w:rPr>
        <w:t xml:space="preserve">Martin v. Hunter’s Lessee</w:t>
      </w:r>
      <w:r>
        <w:t xml:space="preserve"> </w:t>
      </w:r>
      <w:r>
        <w:t xml:space="preserve">(1816),</w:t>
      </w:r>
      <w:r>
        <w:t xml:space="preserve"> </w:t>
      </w:r>
      <w:r>
        <w:rPr>
          <w:i/>
          <w:iCs/>
        </w:rPr>
        <w:t xml:space="preserve">The Prize Cases</w:t>
      </w:r>
      <w:r>
        <w:t xml:space="preserve"> </w:t>
      </w:r>
      <w:r>
        <w:t xml:space="preserve">(1863), and</w:t>
      </w:r>
      <w:r>
        <w:t xml:space="preserve"> </w:t>
      </w:r>
      <w:r>
        <w:rPr>
          <w:i/>
          <w:iCs/>
        </w:rPr>
        <w:t xml:space="preserve">Youngstown Sheet and Tube Co. v. Sawyer</w:t>
      </w:r>
      <w:r>
        <w:t xml:space="preserve"> </w:t>
      </w:r>
      <w:r>
        <w:t xml:space="preserve">(1952); source_files attribution to three Cases pages and two Lectures pages; case back-links at every case introduction in the Doctrinal Development section).</w:t>
      </w:r>
    </w:p>
  </w:footnote>
  <w:footnote w:id="106">
    <w:p>
      <w:pPr>
        <w:pStyle w:val="FootnoteText"/>
      </w:pPr>
      <w:r>
        <w:rPr>
          <w:rStyle w:val="FootnoteReference"/>
        </w:rPr>
        <w:footnoteRef/>
      </w:r>
      <w:r>
        <w:t xml:space="preserve"> </w:t>
      </w:r>
      <w:r>
        <w:rPr>
          <w:i/>
          <w:iCs/>
        </w:rPr>
        <w:t xml:space="preserve">See infra</w:t>
      </w:r>
      <w:r>
        <w:t xml:space="preserve"> </w:t>
      </w:r>
      <w:r>
        <w:t xml:space="preserve">App. C (Obsidian Note Templates) (wiki-link grammar [[folder/filename|Display Text]]; lowercase-hyphenated tags at file end; source_files frontmatter in lockstep with the Sources footer section, enforced by the Lint phase as a structural check).</w:t>
      </w:r>
    </w:p>
  </w:footnote>
  <w:footnote w:id="107">
    <w:p>
      <w:pPr>
        <w:pStyle w:val="FootnoteText"/>
      </w:pPr>
      <w:r>
        <w:rPr>
          <w:rStyle w:val="FootnoteReference"/>
        </w:rPr>
        <w:footnoteRef/>
      </w:r>
      <w:r>
        <w:t xml:space="preserve"> </w:t>
      </w:r>
      <w:r>
        <w:rPr>
          <w:i/>
          <w:iCs/>
        </w:rPr>
        <w:t xml:space="preserve">See infra</w:t>
      </w:r>
      <w:r>
        <w:t xml:space="preserve"> </w:t>
      </w:r>
      <w:r>
        <w:t xml:space="preserve">fig. 5.2 (source Obsidian vault graph view rendering cross-page wiki-links as an interactive node graph, a working view in the author’s Obsidian editing environment rather than a feature of the deployed reader-facing site; captured from the source Obsidian vault May 26, 2026).</w:t>
      </w:r>
    </w:p>
  </w:footnote>
  <w:footnote w:id="108">
    <w:p>
      <w:pPr>
        <w:pStyle w:val="FootnoteText"/>
      </w:pPr>
      <w:r>
        <w:rPr>
          <w:rStyle w:val="FootnoteReference"/>
        </w:rPr>
        <w:footnoteRef/>
      </w:r>
      <w:r>
        <w:t xml:space="preserve"> </w:t>
      </w:r>
      <w:r>
        <w:rPr>
          <w:i/>
          <w:iCs/>
        </w:rPr>
        <w:t xml:space="preserve">See infra</w:t>
      </w:r>
      <w:r>
        <w:t xml:space="preserve"> </w:t>
      </w:r>
      <w:r>
        <w:t xml:space="preserve">figs. 5.3–5.8 (local-graph captures from the source Obsidian vault, May 26, 2026, covering each node type twice:</w:t>
      </w:r>
      <w:r>
        <w:t xml:space="preserve"> </w:t>
      </w:r>
      <w:r>
        <w:rPr>
          <w:i/>
          <w:iCs/>
        </w:rPr>
        <w:t xml:space="preserve">Marbury v. Madison</w:t>
      </w:r>
      <w:r>
        <w:t xml:space="preserve"> </w:t>
      </w:r>
      <w:r>
        <w:t xml:space="preserve">and</w:t>
      </w:r>
      <w:r>
        <w:t xml:space="preserve"> </w:t>
      </w:r>
      <w:r>
        <w:rPr>
          <w:i/>
          <w:iCs/>
        </w:rPr>
        <w:t xml:space="preserve">Brown v. Board of Education</w:t>
      </w:r>
      <w:r>
        <w:t xml:space="preserve"> </w:t>
      </w:r>
      <w:r>
        <w:t xml:space="preserve">(cases), the Commerce Clause and Substantive Due Process (topics), and two review lectures, each showing the distinct wiki-link relationship cluster that layer of the corpus produces).</w:t>
      </w:r>
    </w:p>
  </w:footnote>
  <w:footnote w:id="110">
    <w:p>
      <w:pPr>
        <w:pStyle w:val="FootnoteText"/>
      </w:pPr>
      <w:r>
        <w:rPr>
          <w:rStyle w:val="FootnoteReference"/>
        </w:rPr>
        <w:footnoteRef/>
      </w:r>
      <w:r>
        <w:t xml:space="preserve"> </w:t>
      </w:r>
      <w:r>
        <w:rPr>
          <w:i/>
          <w:iCs/>
        </w:rPr>
        <w:t xml:space="preserve">See infra</w:t>
      </w:r>
      <w:r>
        <w:t xml:space="preserve"> </w:t>
      </w:r>
      <w:r>
        <w:t xml:space="preserve">App. D (Karpathy-Loop Per-Phase Rubric) (Case Brief template doctrine_family field locked to one of four values: Federalism, Separation of Powers, Individual Rights, or Justiciability; same enum binds the Topic Page template’s area and family fields).</w:t>
      </w:r>
    </w:p>
  </w:footnote>
  <w:footnote w:id="111">
    <w:p>
      <w:pPr>
        <w:pStyle w:val="FootnoteText"/>
      </w:pPr>
      <w:r>
        <w:rPr>
          <w:rStyle w:val="FootnoteReference"/>
        </w:rPr>
        <w:footnoteRef/>
      </w:r>
      <w:r>
        <w:t xml:space="preserve"> </w:t>
      </w:r>
      <w:r>
        <w:rPr>
          <w:i/>
          <w:iCs/>
        </w:rPr>
        <w:t xml:space="preserve">See infra</w:t>
      </w:r>
      <w:r>
        <w:t xml:space="preserve"> </w:t>
      </w:r>
      <w:r>
        <w:t xml:space="preserve">Section III (Case Study: A Constitutional-Law Knowledge System) (figure showing the deployed site’s four-family grid index, with each column color-driven by the doctrine_family field on Case Brief and Topic Page templates; figure capture pending, see PI-012).</w:t>
      </w:r>
    </w:p>
  </w:footnote>
  <w:footnote w:id="112">
    <w:p>
      <w:pPr>
        <w:pStyle w:val="FootnoteText"/>
      </w:pPr>
      <w:r>
        <w:rPr>
          <w:rStyle w:val="FootnoteReference"/>
        </w:rPr>
        <w:footnoteRef/>
      </w:r>
      <w:r>
        <w:t xml:space="preserve"> </w:t>
      </w:r>
      <w:r>
        <w:rPr>
          <w:i/>
          <w:iCs/>
        </w:rPr>
        <w:t xml:space="preserve">See infra</w:t>
      </w:r>
      <w:r>
        <w:t xml:space="preserve"> </w:t>
      </w:r>
      <w:r>
        <w:t xml:space="preserve">App. D (Karpathy-Loop Per-Phase Rubric) (enum realignment policy in vault RUNBOOK.md, requiring a non-fitting page to be realigned to the nearest canonical value; widening the enum requires a template-guide edit, a RUNBOOK.md update, and a one-paragraph BUILD_NARRATIVE entry).</w:t>
      </w:r>
    </w:p>
  </w:footnote>
  <w:footnote w:id="113">
    <w:p>
      <w:pPr>
        <w:pStyle w:val="FootnoteText"/>
      </w:pPr>
      <w:r>
        <w:rPr>
          <w:rStyle w:val="FootnoteReference"/>
        </w:rPr>
        <w:footnoteRef/>
      </w:r>
      <w:r>
        <w:t xml:space="preserve"> </w:t>
      </w:r>
      <w:r>
        <w:t xml:space="preserve">Chenxi Dong, Yimin Yuan, Kan Chen, Shupei Cheng &amp; Chujie Wen,</w:t>
      </w:r>
      <w:r>
        <w:t xml:space="preserve"> </w:t>
      </w:r>
      <w:r>
        <w:rPr>
          <w:i/>
          <w:iCs/>
        </w:rPr>
        <w:t xml:space="preserve">How to Build an Adaptive AI Tutor for Any Course Using Knowledge Graph-Enhanced Retrieval-Augmented Generation (KG-RAG)</w:t>
      </w:r>
      <w:r>
        <w:t xml:space="preserve">, arXiv:2311.17696 (Feb. 12, 2025), https://arxiv.org/abs/2311.17696 (last visited May 16, 2026) (controlled study of seventy-six students reporting knowledge-graph-augmented retrieval mean assessment score 6.37 against 4.71 for pure semantic retrieval; p &lt; 0.001; Cohen’s</w:t>
      </w:r>
      <w:r>
        <w:t xml:space="preserve"> </w:t>
      </w:r>
      <w:r>
        <w:rPr>
          <w:i/>
          <w:iCs/>
        </w:rPr>
        <w:t xml:space="preserve">d</w:t>
      </w:r>
      <w:r>
        <w:t xml:space="preserve"> </w:t>
      </w:r>
      <w:r>
        <w:t xml:space="preserve">= 0.86; the study delivered that gain through an adaptive conversational AI tutor, the runtime architecture the vault does not adopt).</w:t>
      </w:r>
    </w:p>
  </w:footnote>
  <w:footnote w:id="114">
    <w:p>
      <w:pPr>
        <w:pStyle w:val="FootnoteText"/>
      </w:pPr>
      <w:r>
        <w:rPr>
          <w:rStyle w:val="FootnoteReference"/>
        </w:rPr>
        <w:footnoteRef/>
      </w:r>
      <w:r>
        <w:t xml:space="preserve"> </w:t>
      </w:r>
      <w:r>
        <w:t xml:space="preserve">Boci Peng, Yun Zhu, Yongchao Liu, Xiaohe Bo, Haizhou Shi, Chuntao Hong, Yan Zhang &amp; Siliang Tang,</w:t>
      </w:r>
      <w:r>
        <w:t xml:space="preserve"> </w:t>
      </w:r>
      <w:r>
        <w:rPr>
          <w:i/>
          <w:iCs/>
        </w:rPr>
        <w:t xml:space="preserve">Graph Retrieval-Augmented Generation: A Survey</w:t>
      </w:r>
      <w:r>
        <w:t xml:space="preserve">, arXiv:2408.08921 (Aug. 15, 2024), https://arxiv.org/abs/2408.08921 (last visited May 16, 2026) (defining the canonical GraphRAG workflow as graph-based indexing, graph-guided retrieval, and graph-enhanced generation).</w:t>
      </w:r>
    </w:p>
  </w:footnote>
  <w:footnote w:id="116">
    <w:p>
      <w:pPr>
        <w:pStyle w:val="FootnoteText"/>
      </w:pPr>
      <w:r>
        <w:rPr>
          <w:rStyle w:val="FootnoteReference"/>
        </w:rPr>
        <w:footnoteRef/>
      </w:r>
      <w:r>
        <w:t xml:space="preserve"> </w:t>
      </w:r>
      <w:r>
        <w:rPr>
          <w:i/>
          <w:iCs/>
        </w:rPr>
        <w:t xml:space="preserve">See infra</w:t>
      </w:r>
      <w:r>
        <w:t xml:space="preserve"> </w:t>
      </w:r>
      <w:r>
        <w:t xml:space="preserve">App. D (Karpathy-Loop Per-Phase Rubric) (per-phase rubric file split into six phase-specific files; tiered file loading skipping LESSONS for phases that do not need it; monthly rotation of the BUILD_NARRATIVE file; one-line logging for no-op phase runs).</w:t>
      </w:r>
    </w:p>
  </w:footnote>
  <w:footnote w:id="117">
    <w:p>
      <w:pPr>
        <w:pStyle w:val="FootnoteText"/>
      </w:pPr>
      <w:r>
        <w:rPr>
          <w:rStyle w:val="FootnoteReference"/>
        </w:rPr>
        <w:footnoteRef/>
      </w:r>
      <w:r>
        <w:t xml:space="preserve"> </w:t>
      </w:r>
      <w:r>
        <w:rPr>
          <w:i/>
          <w:iCs/>
        </w:rPr>
        <w:t xml:space="preserve">See infra</w:t>
      </w:r>
      <w:r>
        <w:t xml:space="preserve"> </w:t>
      </w:r>
      <w:r>
        <w:t xml:space="preserve">App. D (Karpathy-Loop Per-Phase Rubric) (Topics/Judicial Review.md area field initially assigned</w:t>
      </w:r>
      <w:r>
        <w:t xml:space="preserve"> </w:t>
      </w:r>
      <w:r>
        <w:rPr>
          <w:i/>
          <w:iCs/>
        </w:rPr>
        <w:t xml:space="preserve">Federal Judicial Power</w:t>
      </w:r>
      <w:r>
        <w:t xml:space="preserve">, realigned to Separation of Powers per the canonical four-value enum; vault RUNBOOK.md codification of the realignment process for future drift).</w:t>
      </w:r>
    </w:p>
  </w:footnote>
  <w:footnote w:id="120">
    <w:p>
      <w:pPr>
        <w:pStyle w:val="FootnoteText"/>
      </w:pPr>
      <w:r>
        <w:rPr>
          <w:rStyle w:val="FootnoteReference"/>
        </w:rPr>
        <w:footnoteRef/>
      </w:r>
      <w:r>
        <w:t xml:space="preserve"> </w:t>
      </w:r>
      <w:r>
        <w:t xml:space="preserve">Yufeng Qian,</w:t>
      </w:r>
      <w:r>
        <w:t xml:space="preserve"> </w:t>
      </w:r>
      <w:r>
        <w:rPr>
          <w:i/>
          <w:iCs/>
        </w:rPr>
        <w:t xml:space="preserve">Prompt Engineering in Education: A Systematic Review of Approaches and Educational Applications</w:t>
      </w:r>
      <w:r>
        <w:t xml:space="preserve">, J. Educational Computing Research (Aug. 2025), https://journals.sagepub.com/doi/abs/10.1177/07356331251365189 (last visited May 18, 2026) (distinguishing technique-based prompting strategies (single-ask patterns including role-prompting, few-shot examples, and chain-of-thought reasoning) from process-based prompting strategies (multi-step workflows in which each prompt is one move in a longer pedagogical loop); the vault’s six-phase rotation is process-based in Qian’s sense, with each phase’s prompt depending on the prior phase’s output).</w:t>
      </w:r>
    </w:p>
  </w:footnote>
  <w:footnote w:id="122">
    <w:p>
      <w:pPr>
        <w:pStyle w:val="FootnoteText"/>
      </w:pPr>
      <w:r>
        <w:rPr>
          <w:rStyle w:val="FootnoteReference"/>
        </w:rPr>
        <w:footnoteRef/>
      </w:r>
      <w:r>
        <w:t xml:space="preserve"> </w:t>
      </w:r>
      <w:r>
        <w:rPr>
          <w:i/>
          <w:iCs/>
        </w:rPr>
        <w:t xml:space="preserve">See infra</w:t>
      </w:r>
      <w:r>
        <w:t xml:space="preserve"> </w:t>
      </w:r>
      <w:r>
        <w:t xml:space="preserve">App. B (Prompt Library) (Case Brief template loaded as part of every Ingest and Enrich prompt as the typed-schema fill contract; appendix capture pending, see PI-035).</w:t>
      </w:r>
    </w:p>
  </w:footnote>
  <w:footnote w:id="123">
    <w:p>
      <w:pPr>
        <w:pStyle w:val="FootnoteText"/>
      </w:pPr>
      <w:r>
        <w:rPr>
          <w:rStyle w:val="FootnoteReference"/>
        </w:rPr>
        <w:footnoteRef/>
      </w:r>
      <w:r>
        <w:t xml:space="preserve"> </w:t>
      </w:r>
      <w:r>
        <w:rPr>
          <w:i/>
          <w:iCs/>
        </w:rPr>
        <w:t xml:space="preserve">See infra</w:t>
      </w:r>
      <w:r>
        <w:t xml:space="preserve"> </w:t>
      </w:r>
      <w:r>
        <w:t xml:space="preserve">App. C (Obsidian Note Templates) (</w:t>
      </w:r>
      <w:r>
        <w:rPr>
          <w:rStyle w:val="VerbatimChar"/>
        </w:rPr>
        <w:t xml:space="preserve">Templates/Case Brief.md</w:t>
      </w:r>
      <w:r>
        <w:t xml:space="preserve"> </w:t>
      </w:r>
      <w:r>
        <w:t xml:space="preserve">frontmatter schema enumerating the eighteen required fields plus the holding-bar block carrying</w:t>
      </w:r>
      <w:r>
        <w:t xml:space="preserve"> </w:t>
      </w:r>
      <w:r>
        <w:rPr>
          <w:rStyle w:val="VerbatimChar"/>
        </w:rPr>
        <w:t xml:space="preserve">issue</w:t>
      </w:r>
      <w:r>
        <w:t xml:space="preserve">,</w:t>
      </w:r>
      <w:r>
        <w:t xml:space="preserve"> </w:t>
      </w:r>
      <w:r>
        <w:rPr>
          <w:rStyle w:val="VerbatimChar"/>
        </w:rPr>
        <w:t xml:space="preserve">holding</w:t>
      </w:r>
      <w:r>
        <w:t xml:space="preserve">,</w:t>
      </w:r>
      <w:r>
        <w:t xml:space="preserve"> </w:t>
      </w:r>
      <w:r>
        <w:rPr>
          <w:rStyle w:val="VerbatimChar"/>
        </w:rPr>
        <w:t xml:space="preserve">reasoning</w:t>
      </w:r>
      <w:r>
        <w:t xml:space="preserve">, and</w:t>
      </w:r>
      <w:r>
        <w:t xml:space="preserve"> </w:t>
      </w:r>
      <w:r>
        <w:rPr>
          <w:rStyle w:val="VerbatimChar"/>
        </w:rPr>
        <w:t xml:space="preserve">doctrine_family</w:t>
      </w:r>
      <w:r>
        <w:t xml:space="preserve">, the citation-meta block carrying</w:t>
      </w:r>
      <w:r>
        <w:t xml:space="preserve"> </w:t>
      </w:r>
      <w:r>
        <w:rPr>
          <w:rStyle w:val="VerbatimChar"/>
        </w:rPr>
        <w:t xml:space="preserve">argued</w:t>
      </w:r>
      <w:r>
        <w:t xml:space="preserve">,</w:t>
      </w:r>
      <w:r>
        <w:t xml:space="preserve"> </w:t>
      </w:r>
      <w:r>
        <w:rPr>
          <w:rStyle w:val="VerbatimChar"/>
        </w:rPr>
        <w:t xml:space="preserve">decided</w:t>
      </w:r>
      <w:r>
        <w:t xml:space="preserve">,</w:t>
      </w:r>
      <w:r>
        <w:t xml:space="preserve"> </w:t>
      </w:r>
      <w:r>
        <w:rPr>
          <w:rStyle w:val="VerbatimChar"/>
        </w:rPr>
        <w:t xml:space="preserve">panel</w:t>
      </w:r>
      <w:r>
        <w:t xml:space="preserve">,</w:t>
      </w:r>
      <w:r>
        <w:t xml:space="preserve"> </w:t>
      </w:r>
      <w:r>
        <w:rPr>
          <w:rStyle w:val="VerbatimChar"/>
        </w:rPr>
        <w:t xml:space="preserve">author</w:t>
      </w:r>
      <w:r>
        <w:t xml:space="preserve">,</w:t>
      </w:r>
      <w:r>
        <w:t xml:space="preserve"> </w:t>
      </w:r>
      <w:r>
        <w:rPr>
          <w:rStyle w:val="VerbatimChar"/>
        </w:rPr>
        <w:t xml:space="preserve">vote</w:t>
      </w:r>
      <w:r>
        <w:t xml:space="preserve">, and</w:t>
      </w:r>
      <w:r>
        <w:t xml:space="preserve"> </w:t>
      </w:r>
      <w:r>
        <w:rPr>
          <w:rStyle w:val="VerbatimChar"/>
        </w:rPr>
        <w:t xml:space="preserve">disposition</w:t>
      </w:r>
      <w:r>
        <w:t xml:space="preserve">, and the authority-lineage block carrying</w:t>
      </w:r>
      <w:r>
        <w:t xml:space="preserve"> </w:t>
      </w:r>
      <w:r>
        <w:rPr>
          <w:rStyle w:val="VerbatimChar"/>
        </w:rPr>
        <w:t xml:space="preserve">relies_on</w:t>
      </w:r>
      <w:r>
        <w:t xml:space="preserve">,</w:t>
      </w:r>
      <w:r>
        <w:t xml:space="preserve"> </w:t>
      </w:r>
      <w:r>
        <w:rPr>
          <w:rStyle w:val="VerbatimChar"/>
        </w:rPr>
        <w:t xml:space="preserve">distinguishes</w:t>
      </w:r>
      <w:r>
        <w:t xml:space="preserve">,</w:t>
      </w:r>
      <w:r>
        <w:t xml:space="preserve"> </w:t>
      </w:r>
      <w:r>
        <w:rPr>
          <w:rStyle w:val="VerbatimChar"/>
        </w:rPr>
        <w:t xml:space="preserve">applied_in</w:t>
      </w:r>
      <w:r>
        <w:t xml:space="preserve">,</w:t>
      </w:r>
      <w:r>
        <w:t xml:space="preserve"> </w:t>
      </w:r>
      <w:r>
        <w:rPr>
          <w:rStyle w:val="VerbatimChar"/>
        </w:rPr>
        <w:t xml:space="preserve">overrules</w:t>
      </w:r>
      <w:r>
        <w:t xml:space="preserve">, and</w:t>
      </w:r>
      <w:r>
        <w:t xml:space="preserve"> </w:t>
      </w:r>
      <w:r>
        <w:rPr>
          <w:rStyle w:val="VerbatimChar"/>
        </w:rPr>
        <w:t xml:space="preserve">overruled_by</w:t>
      </w:r>
      <w:r>
        <w:t xml:space="preserve">; nine fixed H2 sections in fixed order: Memory Jogger, Facts, Procedural History, Judicial Votes, Holding, Analysis with Majority, Concurrence, and Dissent breakouts, Hypothetical Applications, Critique, and Key Quotations, plus Key Points, Connections, and Sources);</w:t>
      </w:r>
      <w:r>
        <w:t xml:space="preserve"> </w:t>
      </w:r>
      <w:r>
        <w:rPr>
          <w:i/>
          <w:iCs/>
        </w:rPr>
        <w:t xml:space="preserve">see also supra</w:t>
      </w:r>
      <w:r>
        <w:t xml:space="preserve"> </w:t>
      </w:r>
      <w:r>
        <w:t xml:space="preserve">Section V (Building the Obsidian Vault) (documenting the same schema as the substrate for AI-authored notes; this section reframes the same schema as the prompt’s pedagogical commitment).</w:t>
      </w:r>
    </w:p>
  </w:footnote>
  <w:footnote w:id="125">
    <w:p>
      <w:pPr>
        <w:pStyle w:val="FootnoteText"/>
      </w:pPr>
      <w:r>
        <w:rPr>
          <w:rStyle w:val="FootnoteReference"/>
        </w:rPr>
        <w:footnoteRef/>
      </w:r>
      <w:r>
        <w:t xml:space="preserve"> </w:t>
      </w:r>
      <w:r>
        <w:rPr>
          <w:i/>
          <w:iCs/>
        </w:rPr>
        <w:t xml:space="preserve">See infra</w:t>
      </w:r>
      <w:r>
        <w:t xml:space="preserve"> </w:t>
      </w:r>
      <w:r>
        <w:t xml:space="preserve">App. B (Prompt Library) (Ingest skeleton-prompt and</w:t>
      </w:r>
      <w:r>
        <w:t xml:space="preserve"> </w:t>
      </w:r>
      <w:r>
        <w:rPr>
          <w:rStyle w:val="VerbatimChar"/>
        </w:rPr>
        <w:t xml:space="preserve">&lt;!-- ENRICH: --&gt;</w:t>
      </w:r>
      <w:r>
        <w:t xml:space="preserve"> </w:t>
      </w:r>
      <w:r>
        <w:t xml:space="preserve">stub-marker convention; appendix capture pending, see PI-035).</w:t>
      </w:r>
    </w:p>
  </w:footnote>
  <w:footnote w:id="126">
    <w:p>
      <w:pPr>
        <w:pStyle w:val="FootnoteText"/>
      </w:pPr>
      <w:r>
        <w:rPr>
          <w:rStyle w:val="FootnoteReference"/>
        </w:rPr>
        <w:footnoteRef/>
      </w:r>
      <w:r>
        <w:t xml:space="preserve"> </w:t>
      </w:r>
      <w:r>
        <w:rPr>
          <w:i/>
          <w:iCs/>
        </w:rPr>
        <w:t xml:space="preserve">See infra</w:t>
      </w:r>
      <w:r>
        <w:t xml:space="preserve"> </w:t>
      </w:r>
      <w:r>
        <w:t xml:space="preserve">App. D (Karpathy-Loop Per-Phase Rubric) (vault</w:t>
      </w:r>
      <w:r>
        <w:t xml:space="preserve"> </w:t>
      </w:r>
      <w:r>
        <w:rPr>
          <w:rStyle w:val="VerbatimChar"/>
        </w:rPr>
        <w:t xml:space="preserve">RUNBOOK.md</w:t>
      </w:r>
      <w:r>
        <w:t xml:space="preserve"> </w:t>
      </w:r>
      <w:r>
        <w:t xml:space="preserve">Phase: Ingest Step 5 instructing the Ingest prompt to fill Memory Jogger, Facts, Procedural History, Judicial Votes, and Holding at full depth, write a majority-only Analysis sketch of roughly 150 words, place exactly one Midpage-verified pin-cited quotation in Key Quotations, and leave every other section as a one-line</w:t>
      </w:r>
      <w:r>
        <w:t xml:space="preserve"> </w:t>
      </w:r>
      <w:r>
        <w:rPr>
          <w:rStyle w:val="VerbatimChar"/>
        </w:rPr>
        <w:t xml:space="preserve">&lt;!-- ENRICH: one-sentence description --&gt;</w:t>
      </w:r>
      <w:r>
        <w:t xml:space="preserve"> </w:t>
      </w:r>
      <w:r>
        <w:t xml:space="preserve">stub marker;</w:t>
      </w:r>
      <w:r>
        <w:t xml:space="preserve"> </w:t>
      </w:r>
      <w:r>
        <w:rPr>
          <w:rStyle w:val="VerbatimChar"/>
        </w:rPr>
        <w:t xml:space="preserve">rubric/ingest.md</w:t>
      </w:r>
      <w:r>
        <w:t xml:space="preserve"> </w:t>
      </w:r>
      <w:r>
        <w:rPr>
          <w:i/>
          <w:iCs/>
        </w:rPr>
        <w:t xml:space="preserve">scope_discipline</w:t>
      </w:r>
      <w:r>
        <w:t xml:space="preserve"> </w:t>
      </w:r>
      <w:r>
        <w:t xml:space="preserve">criterion (weight 0.10) returning 0 and a red flag for any brief written at full nine-section depth during Ingest or for any</w:t>
      </w:r>
      <w:r>
        <w:t xml:space="preserve"> </w:t>
      </w:r>
      <w:r>
        <w:rPr>
          <w:rStyle w:val="VerbatimChar"/>
        </w:rPr>
        <w:t xml:space="preserve">verified</w:t>
      </w:r>
      <w:r>
        <w:t xml:space="preserve"> </w:t>
      </w:r>
      <w:r>
        <w:t xml:space="preserve">field flipped to a today-dated value before Enrich).</w:t>
      </w:r>
    </w:p>
  </w:footnote>
  <w:footnote w:id="127">
    <w:p>
      <w:pPr>
        <w:pStyle w:val="FootnoteText"/>
      </w:pPr>
      <w:r>
        <w:rPr>
          <w:rStyle w:val="FootnoteReference"/>
        </w:rPr>
        <w:footnoteRef/>
      </w:r>
      <w:r>
        <w:t xml:space="preserve"> </w:t>
      </w:r>
      <w:r>
        <w:rPr>
          <w:i/>
          <w:iCs/>
        </w:rPr>
        <w:t xml:space="preserve">See infra</w:t>
      </w:r>
      <w:r>
        <w:t xml:space="preserve"> </w:t>
      </w:r>
      <w:r>
        <w:t xml:space="preserve">App. D (Karpathy-Loop Per-Phase Rubric) (vault</w:t>
      </w:r>
      <w:r>
        <w:t xml:space="preserve"> </w:t>
      </w:r>
      <w:r>
        <w:rPr>
          <w:rStyle w:val="VerbatimChar"/>
        </w:rPr>
        <w:t xml:space="preserve">RUNBOOK.md</w:t>
      </w:r>
      <w:r>
        <w:t xml:space="preserve"> </w:t>
      </w:r>
      <w:r>
        <w:t xml:space="preserve">Phase: Enrich Step 3 specifying five Hypothetical Applications per brief in a fixed two-same-side, two-opposite-side, one-fence-sitter distribution, each requiring a fact pattern and the reasoning that applies the rule to those facts;</w:t>
      </w:r>
      <w:r>
        <w:t xml:space="preserve"> </w:t>
      </w:r>
      <w:r>
        <w:rPr>
          <w:rStyle w:val="VerbatimChar"/>
        </w:rPr>
        <w:t xml:space="preserve">rubric/enrich.md</w:t>
      </w:r>
      <w:r>
        <w:t xml:space="preserve"> </w:t>
      </w:r>
      <w:r>
        <w:rPr>
          <w:i/>
          <w:iCs/>
        </w:rPr>
        <w:t xml:space="preserve">hypos_with_reasoning</w:t>
      </w:r>
      <w:r>
        <w:t xml:space="preserve"> </w:t>
      </w:r>
      <w:r>
        <w:t xml:space="preserve">criterion (weight 0.14) scoring 5 for all five present, 3 for four, 1 for three or fewer, with fact-pattern-only hypos counted as 0 for that slot).</w:t>
      </w:r>
    </w:p>
  </w:footnote>
  <w:footnote w:id="128">
    <w:p>
      <w:pPr>
        <w:pStyle w:val="FootnoteText"/>
      </w:pPr>
      <w:r>
        <w:rPr>
          <w:rStyle w:val="FootnoteReference"/>
        </w:rPr>
        <w:footnoteRef/>
      </w:r>
      <w:r>
        <w:t xml:space="preserve"> </w:t>
      </w:r>
      <w:r>
        <w:rPr>
          <w:i/>
          <w:iCs/>
        </w:rPr>
        <w:t xml:space="preserve">See infra</w:t>
      </w:r>
      <w:r>
        <w:t xml:space="preserve"> </w:t>
      </w:r>
      <w:r>
        <w:t xml:space="preserve">App. D (Karpathy-Loop Per-Phase Rubric) (vault</w:t>
      </w:r>
      <w:r>
        <w:t xml:space="preserve"> </w:t>
      </w:r>
      <w:r>
        <w:rPr>
          <w:rStyle w:val="VerbatimChar"/>
        </w:rPr>
        <w:t xml:space="preserve">RUNBOOK.md</w:t>
      </w:r>
      <w:r>
        <w:t xml:space="preserve"> </w:t>
      </w:r>
      <w:r>
        <w:t xml:space="preserve">Phase: Enrich Step 3 requiring at least one progressive angle and one originalist-or-textualist angle in the Critique section per enriched brief, each grounded in a published critique or a clearly signposted independent argument;</w:t>
      </w:r>
      <w:r>
        <w:t xml:space="preserve"> </w:t>
      </w:r>
      <w:r>
        <w:rPr>
          <w:rStyle w:val="VerbatimChar"/>
        </w:rPr>
        <w:t xml:space="preserve">rubric/enrich.md</w:t>
      </w:r>
      <w:r>
        <w:t xml:space="preserve"> </w:t>
      </w:r>
      <w:r>
        <w:rPr>
          <w:i/>
          <w:iCs/>
        </w:rPr>
        <w:t xml:space="preserve">critique_balance</w:t>
      </w:r>
      <w:r>
        <w:t xml:space="preserve"> </w:t>
      </w:r>
      <w:r>
        <w:t xml:space="preserve">criterion (weight 0.13) scoring 5 for both angles present on every brief, 3 if one angle is missing on any brief, 1 if both are missing anywhere).</w:t>
      </w:r>
    </w:p>
  </w:footnote>
  <w:footnote w:id="129">
    <w:p>
      <w:pPr>
        <w:pStyle w:val="FootnoteText"/>
      </w:pPr>
      <w:r>
        <w:rPr>
          <w:rStyle w:val="FootnoteReference"/>
        </w:rPr>
        <w:footnoteRef/>
      </w:r>
      <w:r>
        <w:t xml:space="preserve"> </w:t>
      </w:r>
      <w:r>
        <w:rPr>
          <w:i/>
          <w:iCs/>
        </w:rPr>
        <w:t xml:space="preserve">See infra</w:t>
      </w:r>
      <w:r>
        <w:t xml:space="preserve"> </w:t>
      </w:r>
      <w:r>
        <w:t xml:space="preserve">App. C (Obsidian Note Templates) (</w:t>
      </w:r>
      <w:r>
        <w:rPr>
          <w:rStyle w:val="VerbatimChar"/>
        </w:rPr>
        <w:t xml:space="preserve">Templates/Topic Page.md</w:t>
      </w:r>
      <w:r>
        <w:t xml:space="preserve"> </w:t>
      </w:r>
      <w:r>
        <w:t xml:space="preserve">specifying a Governing Rule blockquote stating the rule in exam-ready prose with the controlling case attached inline, Doctrinal Development walking the case-by-case progression with the foundational case first, a Key Cases pipe table, Hypothetical Applications in the same five-hypothetical two-same-two-opposite-one-fence distribution Enrich uses for case briefs, How to Spot on an Exam, Critique, and Connections;</w:t>
      </w:r>
      <w:r>
        <w:t xml:space="preserve"> </w:t>
      </w:r>
      <w:r>
        <w:rPr>
          <w:rStyle w:val="VerbatimChar"/>
        </w:rPr>
        <w:t xml:space="preserve">rubric/synthesize.md</w:t>
      </w:r>
      <w:r>
        <w:t xml:space="preserve"> </w:t>
      </w:r>
      <w:r>
        <w:rPr>
          <w:i/>
          <w:iCs/>
        </w:rPr>
        <w:t xml:space="preserve">exam_readiness</w:t>
      </w:r>
      <w:r>
        <w:t xml:space="preserve"> </w:t>
      </w:r>
      <w:r>
        <w:t xml:space="preserve">criterion (weight 0.22) scoring 5 only when every touched Topic page carries Governing Rule, Hypotheticals, and How to Spot on an Exam at minimum; vault</w:t>
      </w:r>
      <w:r>
        <w:t xml:space="preserve"> </w:t>
      </w:r>
      <w:r>
        <w:rPr>
          <w:rStyle w:val="VerbatimChar"/>
        </w:rPr>
        <w:t xml:space="preserve">RUNBOOK.md</w:t>
      </w:r>
      <w:r>
        <w:t xml:space="preserve"> </w:t>
      </w:r>
      <w:r>
        <w:t xml:space="preserve">Phase: Synthesize requiring a topic to qualify when at least two case briefs plus one lecture cover it).</w:t>
      </w:r>
    </w:p>
  </w:footnote>
  <w:footnote w:id="131">
    <w:p>
      <w:pPr>
        <w:pStyle w:val="FootnoteText"/>
      </w:pPr>
      <w:r>
        <w:rPr>
          <w:rStyle w:val="FootnoteReference"/>
        </w:rPr>
        <w:footnoteRef/>
      </w:r>
      <w:r>
        <w:t xml:space="preserve"> </w:t>
      </w:r>
      <w:r>
        <w:rPr>
          <w:i/>
          <w:iCs/>
        </w:rPr>
        <w:t xml:space="preserve">See infra</w:t>
      </w:r>
      <w:r>
        <w:t xml:space="preserve"> </w:t>
      </w:r>
      <w:r>
        <w:t xml:space="preserve">App. D (Karpathy-Loop Per-Phase Rubric) (vault</w:t>
      </w:r>
      <w:r>
        <w:t xml:space="preserve"> </w:t>
      </w:r>
      <w:r>
        <w:rPr>
          <w:rStyle w:val="VerbatimChar"/>
        </w:rPr>
        <w:t xml:space="preserve">RUNBOOK.md</w:t>
      </w:r>
      <w:r>
        <w:t xml:space="preserve"> </w:t>
      </w:r>
      <w:r>
        <w:t xml:space="preserve">Phase: Enrich cardinal rule providing that Key Quotations are Midpage-verified text with pin-cite URLs or they do not enter the vault;</w:t>
      </w:r>
      <w:r>
        <w:t xml:space="preserve"> </w:t>
      </w:r>
      <w:r>
        <w:rPr>
          <w:rStyle w:val="VerbatimChar"/>
        </w:rPr>
        <w:t xml:space="preserve">rubric/ingest.md</w:t>
      </w:r>
      <w:r>
        <w:t xml:space="preserve"> </w:t>
      </w:r>
      <w:r>
        <w:rPr>
          <w:i/>
          <w:iCs/>
        </w:rPr>
        <w:t xml:space="preserve">midpage_verification</w:t>
      </w:r>
      <w:r>
        <w:t xml:space="preserve"> </w:t>
      </w:r>
      <w:r>
        <w:t xml:space="preserve">criterion (weight 0.10) scoring 5 only when each new case brief carries exactly one Midpage-verified pin-cited quote with populated</w:t>
      </w:r>
      <w:r>
        <w:t xml:space="preserve"> </w:t>
      </w:r>
      <w:r>
        <w:rPr>
          <w:rStyle w:val="VerbatimChar"/>
        </w:rPr>
        <w:t xml:space="preserve">midpage_id</w:t>
      </w:r>
      <w:r>
        <w:t xml:space="preserve"> </w:t>
      </w:r>
      <w:r>
        <w:t xml:space="preserve">and</w:t>
      </w:r>
      <w:r>
        <w:t xml:space="preserve"> </w:t>
      </w:r>
      <w:r>
        <w:rPr>
          <w:rStyle w:val="VerbatimChar"/>
        </w:rPr>
        <w:t xml:space="preserve">midpage_url</w:t>
      </w:r>
      <w:r>
        <w:t xml:space="preserve"> </w:t>
      </w:r>
      <w:r>
        <w:t xml:space="preserve">fields; vault</w:t>
      </w:r>
      <w:r>
        <w:t xml:space="preserve"> </w:t>
      </w:r>
      <w:r>
        <w:rPr>
          <w:rStyle w:val="VerbatimChar"/>
        </w:rPr>
        <w:t xml:space="preserve">LESSONS.md</w:t>
      </w:r>
      <w:r>
        <w:t xml:space="preserve"> </w:t>
      </w:r>
      <w:r>
        <w:t xml:space="preserve">documenting the verify-against-the-indexed-opinion rule with the</w:t>
      </w:r>
      <w:r>
        <w:t xml:space="preserve"> </w:t>
      </w:r>
      <w:r>
        <w:rPr>
          <w:i/>
          <w:iCs/>
        </w:rPr>
        <w:t xml:space="preserve">Prize Cases</w:t>
      </w:r>
      <w:r>
        <w:t xml:space="preserve"> </w:t>
      </w:r>
      <w:r>
        <w:t xml:space="preserve">failure story as its dated instance, recording that an Ingest pass, a Lint pass, two Enrich passes, and an Expand pass each reproduced the modernized phrasing because none re-checked against the indexed opinion, and only the adversarial Verify pass returned the actual language);</w:t>
      </w:r>
      <w:r>
        <w:t xml:space="preserve"> </w:t>
      </w:r>
      <w:r>
        <w:rPr>
          <w:i/>
          <w:iCs/>
        </w:rPr>
        <w:t xml:space="preserve">see also infra</w:t>
      </w:r>
      <w:r>
        <w:t xml:space="preserve"> </w:t>
      </w:r>
      <w:r>
        <w:t xml:space="preserve">Section VII (Iterative Improvement Under Professorial Control) (developing the iteration narrative from the</w:t>
      </w:r>
      <w:r>
        <w:t xml:space="preserve"> </w:t>
      </w:r>
      <w:r>
        <w:rPr>
          <w:i/>
          <w:iCs/>
        </w:rPr>
        <w:t xml:space="preserve">Prize Cases</w:t>
      </w:r>
      <w:r>
        <w:t xml:space="preserve"> </w:t>
      </w:r>
      <w:r>
        <w:t xml:space="preserve">failure into a durable prompt amendment).</w:t>
      </w:r>
    </w:p>
  </w:footnote>
  <w:footnote w:id="132">
    <w:p>
      <w:pPr>
        <w:pStyle w:val="FootnoteText"/>
      </w:pPr>
      <w:r>
        <w:rPr>
          <w:rStyle w:val="FootnoteReference"/>
        </w:rPr>
        <w:footnoteRef/>
      </w:r>
      <w:r>
        <w:t xml:space="preserve"> </w:t>
      </w:r>
      <w:r>
        <w:rPr>
          <w:i/>
          <w:iCs/>
        </w:rPr>
        <w:t xml:space="preserve">See infra</w:t>
      </w:r>
      <w:r>
        <w:t xml:space="preserve"> </w:t>
      </w:r>
      <w:r>
        <w:t xml:space="preserve">App. B (Prompt Library) (Verify-phase persona prompts with three-row lead-rotation table and four-row per-persona focus-mutation table, both keyed off</w:t>
      </w:r>
      <w:r>
        <w:t xml:space="preserve"> </w:t>
      </w:r>
      <w:r>
        <w:rPr>
          <w:rStyle w:val="VerbatimChar"/>
        </w:rPr>
        <w:t xml:space="preserve">state.verify_run_count</w:t>
      </w:r>
      <w:r>
        <w:t xml:space="preserve">; appendix capture pending, see PI-035).</w:t>
      </w:r>
    </w:p>
  </w:footnote>
  <w:footnote w:id="133">
    <w:p>
      <w:pPr>
        <w:pStyle w:val="FootnoteText"/>
      </w:pPr>
      <w:r>
        <w:rPr>
          <w:rStyle w:val="FootnoteReference"/>
        </w:rPr>
        <w:footnoteRef/>
      </w:r>
      <w:r>
        <w:t xml:space="preserve"> </w:t>
      </w:r>
      <w:r>
        <w:rPr>
          <w:i/>
          <w:iCs/>
        </w:rPr>
        <w:t xml:space="preserve">See infra</w:t>
      </w:r>
      <w:r>
        <w:t xml:space="preserve"> </w:t>
      </w:r>
      <w:r>
        <w:t xml:space="preserve">App. D (Karpathy-Loop Per-Phase Rubric) (</w:t>
      </w:r>
      <w:r>
        <w:rPr>
          <w:rStyle w:val="VerbatimChar"/>
        </w:rPr>
        <w:t xml:space="preserve">PERSONAS.md</w:t>
      </w:r>
      <w:r>
        <w:t xml:space="preserve"> </w:t>
      </w:r>
      <w:r>
        <w:t xml:space="preserve">instantiating Staleness Auditor, Contradiction Hunter, and Template Enforcer as the three Verify-phase personas, each required to return at least one finding per run and to record</w:t>
      </w:r>
      <w:r>
        <w:t xml:space="preserve"> </w:t>
      </w:r>
      <w:r>
        <w:rPr>
          <w:i/>
          <w:iCs/>
        </w:rPr>
        <w:t xml:space="preserve">persona-produced-nothing</w:t>
      </w:r>
      <w:r>
        <w:t xml:space="preserve"> </w:t>
      </w:r>
      <w:r>
        <w:t xml:space="preserve">as its own finding if it finds nothing; lead-rotation table keyed off</w:t>
      </w:r>
      <w:r>
        <w:t xml:space="preserve"> </w:t>
      </w:r>
      <w:r>
        <w:rPr>
          <w:rStyle w:val="VerbatimChar"/>
        </w:rPr>
        <w:t xml:space="preserve">state.verify_run_count % 3</w:t>
      </w:r>
      <w:r>
        <w:t xml:space="preserve"> </w:t>
      </w:r>
      <w:r>
        <w:t xml:space="preserve">rotating which persona’s findings are listed and loaded first; per-persona focus-mutation table keyed off</w:t>
      </w:r>
      <w:r>
        <w:t xml:space="preserve"> </w:t>
      </w:r>
      <w:r>
        <w:rPr>
          <w:rStyle w:val="VerbatimChar"/>
        </w:rPr>
        <w:t xml:space="preserve">state.verify_run_count % 4</w:t>
      </w:r>
      <w:r>
        <w:t xml:space="preserve">, deliberately offset from the lead cycle so that lead-and-focus pairings change every run rather than locking into a twelve-run loop).</w:t>
      </w:r>
    </w:p>
  </w:footnote>
  <w:footnote w:id="135">
    <w:p>
      <w:pPr>
        <w:pStyle w:val="FootnoteText"/>
      </w:pPr>
      <w:r>
        <w:rPr>
          <w:rStyle w:val="FootnoteReference"/>
        </w:rPr>
        <w:footnoteRef/>
      </w:r>
      <w:r>
        <w:t xml:space="preserve"> </w:t>
      </w:r>
      <w:r>
        <w:rPr>
          <w:i/>
          <w:iCs/>
        </w:rPr>
        <w:t xml:space="preserve">See infra</w:t>
      </w:r>
      <w:r>
        <w:t xml:space="preserve"> </w:t>
      </w:r>
      <w:r>
        <w:t xml:space="preserve">App. D (Karpathy-Loop Per-Phase Rubric) (</w:t>
      </w:r>
      <w:r>
        <w:rPr>
          <w:rStyle w:val="VerbatimChar"/>
        </w:rPr>
        <w:t xml:space="preserve">rubric/ingest.md</w:t>
      </w:r>
      <w:r>
        <w:t xml:space="preserve"> </w:t>
      </w:r>
      <w:r>
        <w:rPr>
          <w:i/>
          <w:iCs/>
        </w:rPr>
        <w:t xml:space="preserve">stub_markers_present</w:t>
      </w:r>
      <w:r>
        <w:t xml:space="preserve"> </w:t>
      </w:r>
      <w:r>
        <w:t xml:space="preserve">criterion (weight 0.15) scoring 5 when every deferred section across the batch carries a</w:t>
      </w:r>
      <w:r>
        <w:t xml:space="preserve"> </w:t>
      </w:r>
      <w:r>
        <w:rPr>
          <w:rStyle w:val="VerbatimChar"/>
        </w:rPr>
        <w:t xml:space="preserve">&lt;!-- ENRICH: one-sentence description --&gt;</w:t>
      </w:r>
      <w:r>
        <w:t xml:space="preserve"> </w:t>
      </w:r>
      <w:r>
        <w:t xml:space="preserve">marker at minimum on concurrence reasoning, dissent reasoning, all five Hypothetical Applications, both Critique angles, additional Key Quotations, and Connections;</w:t>
      </w:r>
      <w:r>
        <w:t xml:space="preserve"> </w:t>
      </w:r>
      <w:r>
        <w:rPr>
          <w:rStyle w:val="VerbatimChar"/>
        </w:rPr>
        <w:t xml:space="preserve">rubric/enrich.md</w:t>
      </w:r>
      <w:r>
        <w:t xml:space="preserve"> </w:t>
      </w:r>
      <w:r>
        <w:rPr>
          <w:i/>
          <w:iCs/>
        </w:rPr>
        <w:t xml:space="preserve">stubs_resolved</w:t>
      </w:r>
      <w:r>
        <w:t xml:space="preserve"> </w:t>
      </w:r>
      <w:r>
        <w:t xml:space="preserve">criterion (weight 0.22) scoring 5 only when 100 percent of</w:t>
      </w:r>
      <w:r>
        <w:t xml:space="preserve"> </w:t>
      </w:r>
      <w:r>
        <w:rPr>
          <w:rStyle w:val="VerbatimChar"/>
        </w:rPr>
        <w:t xml:space="preserve">&lt;!-- ENRICH: --&gt;</w:t>
      </w:r>
      <w:r>
        <w:t xml:space="preserve"> </w:t>
      </w:r>
      <w:r>
        <w:t xml:space="preserve">markers in three or more in-scope briefs were replaced with substantive prose; vault</w:t>
      </w:r>
      <w:r>
        <w:t xml:space="preserve"> </w:t>
      </w:r>
      <w:r>
        <w:rPr>
          <w:rStyle w:val="VerbatimChar"/>
        </w:rPr>
        <w:t xml:space="preserve">LESSONS.md</w:t>
      </w:r>
      <w:r>
        <w:t xml:space="preserve"> </w:t>
      </w:r>
      <w:r>
        <w:t xml:space="preserve">Connections-stub rule providing that Ingest skeletons must always carry an ENRICH stub in Connections rather than pre-filled wiki-links, added after the</w:t>
      </w:r>
      <w:r>
        <w:t xml:space="preserve"> </w:t>
      </w:r>
      <w:r>
        <w:rPr>
          <w:i/>
          <w:iCs/>
        </w:rPr>
        <w:t xml:space="preserve">Learning Resources, Inc. v. Trump</w:t>
      </w:r>
      <w:r>
        <w:t xml:space="preserve"> </w:t>
      </w:r>
      <w:r>
        <w:t xml:space="preserve">skeleton seeded broken links by filling Connections at Ingest and bypassing Expand’s target-existence check).</w:t>
      </w:r>
    </w:p>
  </w:footnote>
  <w:footnote w:id="136">
    <w:p>
      <w:pPr>
        <w:pStyle w:val="FootnoteText"/>
      </w:pPr>
      <w:r>
        <w:rPr>
          <w:rStyle w:val="FootnoteReference"/>
        </w:rPr>
        <w:footnoteRef/>
      </w:r>
      <w:r>
        <w:t xml:space="preserve"> </w:t>
      </w:r>
      <w:r>
        <w:rPr>
          <w:i/>
          <w:iCs/>
        </w:rPr>
        <w:t xml:space="preserve">See infra</w:t>
      </w:r>
      <w:r>
        <w:t xml:space="preserve"> </w:t>
      </w:r>
      <w:r>
        <w:t xml:space="preserve">App. D (Karpathy-Loop Per-Phase Rubric) (vault</w:t>
      </w:r>
      <w:r>
        <w:t xml:space="preserve"> </w:t>
      </w:r>
      <w:r>
        <w:rPr>
          <w:rStyle w:val="VerbatimChar"/>
        </w:rPr>
        <w:t xml:space="preserve">LESSONS.md</w:t>
      </w:r>
      <w:r>
        <w:t xml:space="preserve"> </w:t>
      </w:r>
      <w:r>
        <w:t xml:space="preserve">carrying the prompt-iteration memory in a fixed entry schema (Rule, Why, How to apply, Seen) capped at 60 words and 35 total entries with an out-of-rotation Consolidate sweep; tiered-loading rule loading the file at the start of every content-editing run (Ingest, Enrich, Expand, Synthesize) and skipping it during Lint and Verify unless a phase-verify persona specifically needs it; representative entries including the em-dash typography rule mirroring the Polish-rubric house-style rule at the prompt level, the do-not-invent-case-details rule restating the fabrication-discipline rule, and the Ingest-skeletons-Connections-stub rule added after</w:t>
      </w:r>
      <w:r>
        <w:t xml:space="preserve"> </w:t>
      </w:r>
      <w:r>
        <w:rPr>
          <w:i/>
          <w:iCs/>
        </w:rPr>
        <w:t xml:space="preserve">Learning Resources, Inc. v. Trump</w:t>
      </w:r>
      <w:r>
        <w:t xml:space="preserve"> </w:t>
      </w:r>
      <w:r>
        <w:t xml:space="preserve">showed the broken-link failure mode);</w:t>
      </w:r>
      <w:r>
        <w:t xml:space="preserve"> </w:t>
      </w:r>
      <w:r>
        <w:rPr>
          <w:i/>
          <w:iCs/>
        </w:rPr>
        <w:t xml:space="preserve">Learning Resources, Inc. v. Trump</w:t>
      </w:r>
      <w:r>
        <w:t xml:space="preserve"> </w:t>
      </w:r>
      <w:r>
        <w:t xml:space="preserve">is cited here as a vault iteration-history artifact rather than for any judicial holding, and the LESSONS.md entry is the source of the case-name reference. The vault filename convention drops the period after “v” and is normalized to Bluebook “v.” in published prose per L-015.</w:t>
      </w:r>
    </w:p>
  </w:footnote>
  <w:footnote w:id="139">
    <w:p>
      <w:pPr>
        <w:pStyle w:val="FootnoteText"/>
      </w:pPr>
      <w:r>
        <w:rPr>
          <w:rStyle w:val="FootnoteReference"/>
        </w:rPr>
        <w:footnoteRef/>
      </w:r>
      <w:r>
        <w:t xml:space="preserve"> </w:t>
      </w:r>
      <w:r>
        <w:t xml:space="preserve">Andrej Karpathy,</w:t>
      </w:r>
      <w:r>
        <w:t xml:space="preserve"> </w:t>
      </w:r>
      <w:r>
        <w:rPr>
          <w:i/>
          <w:iCs/>
        </w:rPr>
        <w:t xml:space="preserve">autoresearch</w:t>
      </w:r>
      <w:r>
        <w:t xml:space="preserve">, GitHub (Mar. 7, 2026), https://github.com/karpathy/autoresearch (last visited May 19, 2026) (single-GPU nanochat training repository in which an AI agent edits the</w:t>
      </w:r>
      <w:r>
        <w:t xml:space="preserve"> </w:t>
      </w:r>
      <w:r>
        <w:rPr>
          <w:rStyle w:val="VerbatimChar"/>
        </w:rPr>
        <w:t xml:space="preserve">train.py</w:t>
      </w:r>
      <w:r>
        <w:t xml:space="preserve"> </w:t>
      </w:r>
      <w:r>
        <w:t xml:space="preserve">file, runs a fixed five-minute training experiment, checks whether</w:t>
      </w:r>
      <w:r>
        <w:t xml:space="preserve"> </w:t>
      </w:r>
      <w:r>
        <w:rPr>
          <w:rStyle w:val="VerbatimChar"/>
        </w:rPr>
        <w:t xml:space="preserve">val_bpb</w:t>
      </w:r>
      <w:r>
        <w:t xml:space="preserve"> </w:t>
      </w:r>
      <w:r>
        <w:t xml:space="preserve">validation loss improved, keeps the git commit if so and reverts otherwise, and repeats; the README names the four design choices the article adapts (single file to modify, fixed five-minute time budget per experiment, self-contained dependencies, agent-edits-</w:t>
      </w:r>
      <w:r>
        <w:rPr>
          <w:rStyle w:val="VerbatimChar"/>
        </w:rPr>
        <w:t xml:space="preserve">train.py</w:t>
      </w:r>
      <w:r>
        <w:t xml:space="preserve">-and-human-edits-</w:t>
      </w:r>
      <w:r>
        <w:rPr>
          <w:rStyle w:val="VerbatimChar"/>
        </w:rPr>
        <w:t xml:space="preserve">program.md</w:t>
      </w:r>
      <w:r>
        <w:t xml:space="preserve"> </w:t>
      </w:r>
      <w:r>
        <w:t xml:space="preserve">separation) and projects that the fixed-budget design yields approximately twelve experiments per hour and approximately one hundred experiments while the researcher sleeps; the fifty-experiments-overnight figure used in body prose is the figure attached to Karpathy’s March 7, 2026 release announcement of an initial overnight run that surfaced a learning-rate improvement, conservative against the README’s projected throughput and consistent with this article’s house-lessons restriction to verified figures).</w:t>
      </w:r>
    </w:p>
  </w:footnote>
  <w:footnote w:id="141">
    <w:p>
      <w:pPr>
        <w:pStyle w:val="FootnoteText"/>
      </w:pPr>
      <w:r>
        <w:rPr>
          <w:rStyle w:val="FootnoteReference"/>
        </w:rPr>
        <w:footnoteRef/>
      </w:r>
      <w:r>
        <w:t xml:space="preserve"> </w:t>
      </w:r>
      <w:r>
        <w:rPr>
          <w:i/>
          <w:iCs/>
        </w:rPr>
        <w:t xml:space="preserve">See infra</w:t>
      </w:r>
      <w:r>
        <w:t xml:space="preserve"> </w:t>
      </w:r>
      <w:r>
        <w:t xml:space="preserve">App. D (Karpathy-Loop Per-Phase Rubric) (vault</w:t>
      </w:r>
      <w:r>
        <w:t xml:space="preserve"> </w:t>
      </w:r>
      <w:r>
        <w:rPr>
          <w:rStyle w:val="VerbatimChar"/>
        </w:rPr>
        <w:t xml:space="preserve">PROJECT_PRIMER.md</w:t>
      </w:r>
      <w:r>
        <w:t xml:space="preserve"> </w:t>
      </w:r>
      <w:r>
        <w:t xml:space="preserve">Phase Rotation section enumerating the six phases as</w:t>
      </w:r>
      <w:r>
        <w:t xml:space="preserve"> </w:t>
      </w:r>
      <w:r>
        <w:rPr>
          <w:rStyle w:val="VerbatimChar"/>
        </w:rPr>
        <w:t xml:space="preserve">Ingest -&gt; Lint -&gt; Enrich -&gt; Expand -&gt; Synthesize -&gt; Verify -&gt; repeat</w:t>
      </w:r>
      <w:r>
        <w:t xml:space="preserve">; per-phase procedures specified in vault</w:t>
      </w:r>
      <w:r>
        <w:t xml:space="preserve"> </w:t>
      </w:r>
      <w:r>
        <w:rPr>
          <w:rStyle w:val="VerbatimChar"/>
        </w:rPr>
        <w:t xml:space="preserve">RUNBOOK.md</w:t>
      </w:r>
      <w:r>
        <w:t xml:space="preserve"> </w:t>
      </w:r>
      <w:r>
        <w:t xml:space="preserve">Phase: Ingest through Phase: Verify sections; per-phase rubrics held in</w:t>
      </w:r>
      <w:r>
        <w:t xml:space="preserve"> </w:t>
      </w:r>
      <w:r>
        <w:rPr>
          <w:rStyle w:val="VerbatimChar"/>
        </w:rPr>
        <w:t xml:space="preserve">rubric/&lt;phase&gt;.md</w:t>
      </w:r>
      <w:r>
        <w:t xml:space="preserve"> </w:t>
      </w:r>
      <w:r>
        <w:t xml:space="preserve">and loaded only by the active phase under the tiered-loading discipline that closed the token problem);</w:t>
      </w:r>
      <w:r>
        <w:t xml:space="preserve"> </w:t>
      </w:r>
      <w:r>
        <w:rPr>
          <w:i/>
          <w:iCs/>
        </w:rPr>
        <w:t xml:space="preserve">see also infra</w:t>
      </w:r>
      <w:r>
        <w:t xml:space="preserve"> </w:t>
      </w:r>
      <w:r>
        <w:t xml:space="preserve">Section VIII (From Vault to Website) (cross-reference to the deployed-site URL that publishes the artifacts each phase produces).</w:t>
      </w:r>
    </w:p>
  </w:footnote>
  <w:footnote w:id="143">
    <w:p>
      <w:pPr>
        <w:pStyle w:val="FootnoteText"/>
      </w:pPr>
      <w:r>
        <w:rPr>
          <w:rStyle w:val="FootnoteReference"/>
        </w:rPr>
        <w:footnoteRef/>
      </w:r>
      <w:r>
        <w:t xml:space="preserve"> </w:t>
      </w:r>
      <w:r>
        <w:rPr>
          <w:i/>
          <w:iCs/>
        </w:rPr>
        <w:t xml:space="preserve">See infra</w:t>
      </w:r>
      <w:r>
        <w:t xml:space="preserve"> </w:t>
      </w:r>
      <w:r>
        <w:t xml:space="preserve">App. D (Karpathy-Loop Per-Phase Rubric) (vault</w:t>
      </w:r>
      <w:r>
        <w:t xml:space="preserve"> </w:t>
      </w:r>
      <w:r>
        <w:rPr>
          <w:rStyle w:val="VerbatimChar"/>
        </w:rPr>
        <w:t xml:space="preserve">PERSONAS.md</w:t>
      </w:r>
      <w:r>
        <w:t xml:space="preserve"> </w:t>
      </w:r>
      <w:r>
        <w:t xml:space="preserve">defining Staleness Auditor, Contradiction Hunter, and Template Enforcer as the three Verify-phase personas, each required to return at least one concrete finding per run and to record</w:t>
      </w:r>
      <w:r>
        <w:t xml:space="preserve"> </w:t>
      </w:r>
      <w:r>
        <w:rPr>
          <w:i/>
          <w:iCs/>
        </w:rPr>
        <w:t xml:space="preserve">persona-produced-nothing</w:t>
      </w:r>
      <w:r>
        <w:t xml:space="preserve"> </w:t>
      </w:r>
      <w:r>
        <w:t xml:space="preserve">as its own finding when nothing is found; lead-rotation table keyed off</w:t>
      </w:r>
      <w:r>
        <w:t xml:space="preserve"> </w:t>
      </w:r>
      <w:r>
        <w:rPr>
          <w:rStyle w:val="VerbatimChar"/>
        </w:rPr>
        <w:t xml:space="preserve">state.verify_run_count % 3</w:t>
      </w:r>
      <w:r>
        <w:t xml:space="preserve"> </w:t>
      </w:r>
      <w:r>
        <w:t xml:space="preserve">rotating which persona’s findings are listed and loaded first; per-persona focus-mutation table keyed off</w:t>
      </w:r>
      <w:r>
        <w:t xml:space="preserve"> </w:t>
      </w:r>
      <w:r>
        <w:rPr>
          <w:rStyle w:val="VerbatimChar"/>
        </w:rPr>
        <w:t xml:space="preserve">state.verify_run_count % 4</w:t>
      </w:r>
      <w:r>
        <w:t xml:space="preserve">, deliberately offset from the lead cycle so that lead-and-focus pairings change every run rather than locking into a twelve-run loop; vault</w:t>
      </w:r>
      <w:r>
        <w:t xml:space="preserve"> </w:t>
      </w:r>
      <w:r>
        <w:rPr>
          <w:rStyle w:val="VerbatimChar"/>
        </w:rPr>
        <w:t xml:space="preserve">rubric/verify.md</w:t>
      </w:r>
      <w:r>
        <w:t xml:space="preserve"> </w:t>
      </w:r>
      <w:r>
        <w:rPr>
          <w:i/>
          <w:iCs/>
        </w:rPr>
        <w:t xml:space="preserve">adversarial_findings</w:t>
      </w:r>
      <w:r>
        <w:t xml:space="preserve"> </w:t>
      </w:r>
      <w:r>
        <w:t xml:space="preserve">criterion (weight 0.28) red-flagging any Verify pass that returns zero findings, the largest single criterion weight on the rubric).</w:t>
      </w:r>
    </w:p>
  </w:footnote>
  <w:footnote w:id="144">
    <w:p>
      <w:pPr>
        <w:pStyle w:val="FootnoteText"/>
      </w:pPr>
      <w:r>
        <w:rPr>
          <w:rStyle w:val="FootnoteReference"/>
        </w:rPr>
        <w:footnoteRef/>
      </w:r>
      <w:r>
        <w:t xml:space="preserve"> </w:t>
      </w:r>
      <w:r>
        <w:rPr>
          <w:i/>
          <w:iCs/>
        </w:rPr>
        <w:t xml:space="preserve">The Prize Cases</w:t>
      </w:r>
      <w:r>
        <w:t xml:space="preserve">, 67 U.S. (2 Black) 635, 670 (1863) (Grier, J.) (“[A civil war] is never solemnly declared; it becomes such by its accidents — the number, power, and organisation of the persons who originate and carry it on.”) (em dash retained verbatim from the indexed reporter, preserved as a verbatim primary-source quotation rather than rewritten under the article’s house no-em-dash rule for its own prose);</w:t>
      </w:r>
      <w:r>
        <w:t xml:space="preserve"> </w:t>
      </w:r>
      <w:r>
        <w:rPr>
          <w:i/>
          <w:iCs/>
        </w:rPr>
        <w:t xml:space="preserve">see infra</w:t>
      </w:r>
      <w:r>
        <w:t xml:space="preserve"> </w:t>
      </w:r>
      <w:r>
        <w:t xml:space="preserve">App. D (Karpathy-Loop Per-Phase Rubric) (vault</w:t>
      </w:r>
      <w:r>
        <w:t xml:space="preserve"> </w:t>
      </w:r>
      <w:r>
        <w:rPr>
          <w:rStyle w:val="VerbatimChar"/>
        </w:rPr>
        <w:t xml:space="preserve">LESSONS.md</w:t>
      </w:r>
      <w:r>
        <w:t xml:space="preserve"> </w:t>
      </w:r>
      <w:r>
        <w:t xml:space="preserve">quote-verification-against-the-indexed-opinion rule with the</w:t>
      </w:r>
      <w:r>
        <w:t xml:space="preserve"> </w:t>
      </w:r>
      <w:r>
        <w:rPr>
          <w:i/>
          <w:iCs/>
        </w:rPr>
        <w:t xml:space="preserve">Prize Cases</w:t>
      </w:r>
      <w:r>
        <w:t xml:space="preserve"> </w:t>
      </w:r>
      <w:r>
        <w:t xml:space="preserve">/ Grier failure as its dated instance, recording that an Ingest pass, a Lint pass, two Enrich passes, and an Expand pass each reproduced the modernized phrasing because none re-checked against the indexed opinion, and only the adversarial Verify pass returned the actual language after switching from</w:t>
      </w:r>
      <w:r>
        <w:t xml:space="preserve"> </w:t>
      </w:r>
      <w:r>
        <w:rPr>
          <w:rStyle w:val="VerbatimChar"/>
        </w:rPr>
        <w:t xml:space="preserve">findInOpinion</w:t>
      </w:r>
      <w:r>
        <w:t xml:space="preserve"> </w:t>
      </w:r>
      <w:r>
        <w:t xml:space="preserve">keyword search to</w:t>
      </w:r>
      <w:r>
        <w:t xml:space="preserve"> </w:t>
      </w:r>
      <w:r>
        <w:rPr>
          <w:rStyle w:val="VerbatimChar"/>
        </w:rPr>
        <w:t xml:space="preserve">analyzeOpinion</w:t>
      </w:r>
      <w:r>
        <w:t xml:space="preserve"> </w:t>
      </w:r>
      <w:r>
        <w:t xml:space="preserve">AI analysis);</w:t>
      </w:r>
      <w:r>
        <w:t xml:space="preserve"> </w:t>
      </w:r>
      <w:r>
        <w:rPr>
          <w:i/>
          <w:iCs/>
        </w:rPr>
        <w:t xml:space="preserve">see also supra</w:t>
      </w:r>
      <w:r>
        <w:t xml:space="preserve"> </w:t>
      </w:r>
      <w:r>
        <w:t xml:space="preserve">Section VI (Prompting as Pedagogical Design) note 83 (cross-reference to the prompt-design framing of the same iteration story as the cardinal Midpage-verification rule encoded in the Enrich prompt).</w:t>
      </w:r>
    </w:p>
  </w:footnote>
  <w:footnote w:id="145">
    <w:p>
      <w:pPr>
        <w:pStyle w:val="FootnoteText"/>
      </w:pPr>
      <w:r>
        <w:rPr>
          <w:rStyle w:val="FootnoteReference"/>
        </w:rPr>
        <w:footnoteRef/>
      </w:r>
      <w:r>
        <w:t xml:space="preserve"> </w:t>
      </w:r>
      <w:r>
        <w:rPr>
          <w:i/>
          <w:iCs/>
        </w:rPr>
        <w:t xml:space="preserve">Youngstown Sheet &amp; Tube Co. v. Sawyer</w:t>
      </w:r>
      <w:r>
        <w:t xml:space="preserve">, 343 U.S. 579, 593-628 (1952) (Frankfurter, J., concurring) (writing separately from Black’s opinion and explicitly disclaiming categorical rules in favor of a fact-and-history-bound analysis of executive power);</w:t>
      </w:r>
      <w:r>
        <w:t xml:space="preserve"> </w:t>
      </w:r>
      <w:r>
        <w:rPr>
          <w:i/>
          <w:iCs/>
        </w:rPr>
        <w:t xml:space="preserve">id.</w:t>
      </w:r>
      <w:r>
        <w:t xml:space="preserve"> </w:t>
      </w:r>
      <w:r>
        <w:t xml:space="preserve">at 629-34 (Douglas, J., concurring) (joining the opinion and writing separately);</w:t>
      </w:r>
      <w:r>
        <w:t xml:space="preserve"> </w:t>
      </w:r>
      <w:r>
        <w:rPr>
          <w:i/>
          <w:iCs/>
        </w:rPr>
        <w:t xml:space="preserve">id.</w:t>
      </w:r>
      <w:r>
        <w:t xml:space="preserve"> </w:t>
      </w:r>
      <w:r>
        <w:t xml:space="preserve">at 634-55 (Jackson, J., concurring in the judgment) (announcing the three-zone analytical framework);</w:t>
      </w:r>
      <w:r>
        <w:t xml:space="preserve"> </w:t>
      </w:r>
      <w:r>
        <w:rPr>
          <w:i/>
          <w:iCs/>
        </w:rPr>
        <w:t xml:space="preserve">id.</w:t>
      </w:r>
      <w:r>
        <w:t xml:space="preserve"> </w:t>
      </w:r>
      <w:r>
        <w:t xml:space="preserve">at 655-60 (Burton, J., concurring in the judgment);</w:t>
      </w:r>
      <w:r>
        <w:t xml:space="preserve"> </w:t>
      </w:r>
      <w:r>
        <w:rPr>
          <w:i/>
          <w:iCs/>
        </w:rPr>
        <w:t xml:space="preserve">id.</w:t>
      </w:r>
      <w:r>
        <w:t xml:space="preserve"> </w:t>
      </w:r>
      <w:r>
        <w:t xml:space="preserve">at 660-67 (Clark, J., concurring in the judgment).</w:t>
      </w:r>
    </w:p>
  </w:footnote>
  <w:footnote w:id="146">
    <w:p>
      <w:pPr>
        <w:pStyle w:val="FootnoteText"/>
      </w:pPr>
      <w:r>
        <w:rPr>
          <w:rStyle w:val="FootnoteReference"/>
        </w:rPr>
        <w:footnoteRef/>
      </w:r>
      <w:r>
        <w:t xml:space="preserve"> </w:t>
      </w:r>
      <w:r>
        <w:rPr>
          <w:i/>
          <w:iCs/>
        </w:rPr>
        <w:t xml:space="preserve">See infra</w:t>
      </w:r>
      <w:r>
        <w:t xml:space="preserve"> </w:t>
      </w:r>
      <w:r>
        <w:t xml:space="preserve">Section XI note 153 (Melissa Bond et al.,</w:t>
      </w:r>
      <w:r>
        <w:t xml:space="preserve"> </w:t>
      </w:r>
      <w:r>
        <w:rPr>
          <w:i/>
          <w:iCs/>
        </w:rPr>
        <w:t xml:space="preserve">A Meta Systematic Review of Artificial Intelligence in Higher Education: A Call for Increased Ethics, Collaboration, and Rigour</w:t>
      </w:r>
      <w:r>
        <w:t xml:space="preserve">, 21 Int’l J. Educ. Tech. Higher Educ. art. 4 (2024));</w:t>
      </w:r>
      <w:r>
        <w:t xml:space="preserve"> </w:t>
      </w:r>
      <w:r>
        <w:rPr>
          <w:i/>
          <w:iCs/>
        </w:rPr>
        <w:t xml:space="preserve">see also infra</w:t>
      </w:r>
      <w:r>
        <w:t xml:space="preserve"> </w:t>
      </w:r>
      <w:r>
        <w:t xml:space="preserve">Section XII note 169. URL liveness is owned by Section XI per the article’s cross-section-reuse convention. Transfer of inference, distinct from Section XI’s: this section invokes Bond for the field-level call to greater ethics, collaboration, and rigour as the evidentiary standard the forced-finding Verify architecture is intended to satisfy; the corpus-composition characterization developed at Sections XI and XII is not relied on here.</w:t>
      </w:r>
    </w:p>
  </w:footnote>
  <w:footnote w:id="148">
    <w:p>
      <w:pPr>
        <w:pStyle w:val="FootnoteText"/>
      </w:pPr>
      <w:r>
        <w:rPr>
          <w:rStyle w:val="FootnoteReference"/>
        </w:rPr>
        <w:footnoteRef/>
      </w:r>
      <w:r>
        <w:t xml:space="preserve"> </w:t>
      </w:r>
      <w:r>
        <w:rPr>
          <w:i/>
          <w:iCs/>
        </w:rPr>
        <w:t xml:space="preserve">See infra</w:t>
      </w:r>
      <w:r>
        <w:t xml:space="preserve"> </w:t>
      </w:r>
      <w:r>
        <w:t xml:space="preserve">App. D (Karpathy-Loop Per-Phase Rubric) (vault</w:t>
      </w:r>
      <w:r>
        <w:t xml:space="preserve"> </w:t>
      </w:r>
      <w:r>
        <w:rPr>
          <w:rStyle w:val="VerbatimChar"/>
        </w:rPr>
        <w:t xml:space="preserve">LESSONS.md</w:t>
      </w:r>
      <w:r>
        <w:t xml:space="preserve"> </w:t>
      </w:r>
      <w:r>
        <w:t xml:space="preserve">carrying the loop-memory record in a fixed entry schema (Rule, Why, How to apply, Seen) capped at sixty words per entry and thirty-five total entries; tiered-loading rule loading the file at the start of every content-editing run (Ingest, Enrich, Expand, Synthesize) and skipping it during Lint and Verify unless a phase-verify persona specifically needs it; out-of-rotation Consolidate sweep merging duplicates, pruning superseded entries, and promoting queued lesson-candidate items when three or more candidate items accumulate or when the file passes thirty entries and seven days have elapsed, so the cap stays honest rather than aspirational);</w:t>
      </w:r>
      <w:r>
        <w:t xml:space="preserve"> </w:t>
      </w:r>
      <w:r>
        <w:rPr>
          <w:i/>
          <w:iCs/>
        </w:rPr>
        <w:t xml:space="preserve">see also supra</w:t>
      </w:r>
      <w:r>
        <w:t xml:space="preserve"> </w:t>
      </w:r>
      <w:r>
        <w:t xml:space="preserve">Section VI (Prompting as Pedagogical Design) note 87 (cross-reference to the prompt-iteration-memory framing of the same file as Section VI’s subject).</w:t>
      </w:r>
    </w:p>
  </w:footnote>
  <w:footnote w:id="149">
    <w:p>
      <w:pPr>
        <w:pStyle w:val="FootnoteText"/>
      </w:pPr>
      <w:r>
        <w:rPr>
          <w:rStyle w:val="FootnoteReference"/>
        </w:rPr>
        <w:footnoteRef/>
      </w:r>
      <w:r>
        <w:t xml:space="preserve"> </w:t>
      </w:r>
      <w:r>
        <w:rPr>
          <w:i/>
          <w:iCs/>
        </w:rPr>
        <w:t xml:space="preserve">See infra</w:t>
      </w:r>
      <w:r>
        <w:t xml:space="preserve"> </w:t>
      </w:r>
      <w:r>
        <w:t xml:space="preserve">App. D (Karpathy-Loop Per-Phase Rubric) (per-phase rubric architecture at vault</w:t>
      </w:r>
      <w:r>
        <w:t xml:space="preserve"> </w:t>
      </w:r>
      <w:r>
        <w:rPr>
          <w:rStyle w:val="VerbatimChar"/>
        </w:rPr>
        <w:t xml:space="preserve">rubric/&lt;phase&gt;.md</w:t>
      </w:r>
      <w:r>
        <w:t xml:space="preserve"> </w:t>
      </w:r>
      <w:r>
        <w:t xml:space="preserve">with each phase’s rubric loaded only by the active phase; vault</w:t>
      </w:r>
      <w:r>
        <w:t xml:space="preserve"> </w:t>
      </w:r>
      <w:r>
        <w:rPr>
          <w:rStyle w:val="VerbatimChar"/>
        </w:rPr>
        <w:t xml:space="preserve">LESSONS.md</w:t>
      </w:r>
      <w:r>
        <w:t xml:space="preserve"> </w:t>
      </w:r>
      <w:r>
        <w:t xml:space="preserve">entry on tiered loading recording the original</w:t>
      </w:r>
      <w:r>
        <w:t xml:space="preserve"> </w:t>
      </w:r>
      <w:r>
        <w:rPr>
          <w:rStyle w:val="VerbatimChar"/>
        </w:rPr>
        <w:t xml:space="preserve">RUBRIC.md</w:t>
      </w:r>
      <w:r>
        <w:t xml:space="preserve"> </w:t>
      </w:r>
      <w:r>
        <w:t xml:space="preserve">single-file architecture, the tiered-loading fix that split the rubric into per-phase files, the secondary fix that eliminated the cross-phase criterion-gaming incentive, and the no-op-runs-stopped-being-scored cleanup that fell out of the same pass).</w:t>
      </w:r>
    </w:p>
  </w:footnote>
  <w:footnote w:id="150">
    <w:p>
      <w:pPr>
        <w:pStyle w:val="FootnoteText"/>
      </w:pPr>
      <w:r>
        <w:rPr>
          <w:rStyle w:val="FootnoteReference"/>
        </w:rPr>
        <w:footnoteRef/>
      </w:r>
      <w:r>
        <w:t xml:space="preserve"> </w:t>
      </w:r>
      <w:r>
        <w:rPr>
          <w:i/>
          <w:iCs/>
        </w:rPr>
        <w:t xml:space="preserve">See infra</w:t>
      </w:r>
      <w:r>
        <w:t xml:space="preserve"> </w:t>
      </w:r>
      <w:r>
        <w:t xml:space="preserve">App. F (Technical Setup) (vault</w:t>
      </w:r>
      <w:r>
        <w:t xml:space="preserve"> </w:t>
      </w:r>
      <w:r>
        <w:rPr>
          <w:rStyle w:val="VerbatimChar"/>
        </w:rPr>
        <w:t xml:space="preserve">rubric/verify.md</w:t>
      </w:r>
      <w:r>
        <w:t xml:space="preserve"> </w:t>
      </w:r>
      <w:r>
        <w:t xml:space="preserve">weighted-criteria table (</w:t>
      </w:r>
      <w:r>
        <w:rPr>
          <w:rStyle w:val="VerbatimChar"/>
        </w:rPr>
        <w:t xml:space="preserve">adversarial_findings</w:t>
      </w:r>
      <w:r>
        <w:t xml:space="preserve"> </w:t>
      </w:r>
      <w:r>
        <w:t xml:space="preserve">0.28,</w:t>
      </w:r>
      <w:r>
        <w:t xml:space="preserve"> </w:t>
      </w:r>
      <w:r>
        <w:rPr>
          <w:rStyle w:val="VerbatimChar"/>
        </w:rPr>
        <w:t xml:space="preserve">holding_verification</w:t>
      </w:r>
      <w:r>
        <w:t xml:space="preserve"> </w:t>
      </w:r>
      <w:r>
        <w:t xml:space="preserve">0.17,</w:t>
      </w:r>
      <w:r>
        <w:t xml:space="preserve"> </w:t>
      </w:r>
      <w:r>
        <w:rPr>
          <w:rStyle w:val="VerbatimChar"/>
        </w:rPr>
        <w:t xml:space="preserve">pending_issues_emitted</w:t>
      </w:r>
      <w:r>
        <w:t xml:space="preserve"> </w:t>
      </w:r>
      <w:r>
        <w:t xml:space="preserve">0.20,</w:t>
      </w:r>
      <w:r>
        <w:t xml:space="preserve"> </w:t>
      </w:r>
      <w:r>
        <w:rPr>
          <w:rStyle w:val="VerbatimChar"/>
        </w:rPr>
        <w:t xml:space="preserve">cross_file_consistency</w:t>
      </w:r>
      <w:r>
        <w:t xml:space="preserve"> </w:t>
      </w:r>
      <w:r>
        <w:t xml:space="preserve">0.15,</w:t>
      </w:r>
      <w:r>
        <w:t xml:space="preserve"> </w:t>
      </w:r>
      <w:r>
        <w:rPr>
          <w:rStyle w:val="VerbatimChar"/>
        </w:rPr>
        <w:t xml:space="preserve">pending_issue_aging</w:t>
      </w:r>
      <w:r>
        <w:t xml:space="preserve"> </w:t>
      </w:r>
      <w:r>
        <w:t xml:space="preserve">0.10,</w:t>
      </w:r>
      <w:r>
        <w:t xml:space="preserve"> </w:t>
      </w:r>
      <w:r>
        <w:rPr>
          <w:rStyle w:val="VerbatimChar"/>
        </w:rPr>
        <w:t xml:space="preserve">scope_discipline</w:t>
      </w:r>
      <w:r>
        <w:t xml:space="preserve"> </w:t>
      </w:r>
      <w:r>
        <w:t xml:space="preserve">0.10,</w:t>
      </w:r>
      <w:r>
        <w:t xml:space="preserve"> </w:t>
      </w:r>
      <w:r>
        <w:rPr>
          <w:rStyle w:val="VerbatimChar"/>
        </w:rPr>
        <w:t xml:space="preserve">brevity</w:t>
      </w:r>
      <w:r>
        <w:t xml:space="preserve"> </w:t>
      </w:r>
      <w:r>
        <w:t xml:space="preserve">0.05) defining the per-criterion red-flag thresholds; per-run scorecard at vault</w:t>
      </w:r>
      <w:r>
        <w:t xml:space="preserve"> </w:t>
      </w:r>
      <w:r>
        <w:rPr>
          <w:rStyle w:val="VerbatimChar"/>
        </w:rPr>
        <w:t xml:space="preserve">.run-scores.jsonl</w:t>
      </w:r>
      <w:r>
        <w:t xml:space="preserve"> </w:t>
      </w:r>
      <w:r>
        <w:t xml:space="preserve">appending one JSON line per run carrying the active phase, the weighted criteria scores, the red-flag list if any, and the timestamp; rolling vault</w:t>
      </w:r>
      <w:r>
        <w:t xml:space="preserve"> </w:t>
      </w:r>
      <w:r>
        <w:rPr>
          <w:rStyle w:val="VerbatimChar"/>
        </w:rPr>
        <w:t xml:space="preserve">BUILD_NARRATIVE_YYYY-MM.md</w:t>
      </w:r>
      <w:r>
        <w:t xml:space="preserve"> </w:t>
      </w:r>
      <w:r>
        <w:t xml:space="preserve">carrying a two-to-four-sentence prose entry per run describing what the phase did and what was learned; the same audit-trail architecture is mirrored in the article’s own writing system at</w:t>
      </w:r>
      <w:r>
        <w:t xml:space="preserve"> </w:t>
      </w:r>
      <w:r>
        <w:rPr>
          <w:rStyle w:val="VerbatimChar"/>
        </w:rPr>
        <w:t xml:space="preserve">Article/.article-scores.jsonl</w:t>
      </w:r>
      <w:r>
        <w:t xml:space="preserve"> </w:t>
      </w:r>
      <w:r>
        <w:t xml:space="preserve">and</w:t>
      </w:r>
      <w:r>
        <w:t xml:space="preserve"> </w:t>
      </w:r>
      <w:r>
        <w:rPr>
          <w:rStyle w:val="VerbatimChar"/>
        </w:rPr>
        <w:t xml:space="preserve">Article/BUILD_NARRATIVE_YYYY-MM.md</w:t>
      </w:r>
      <w:r>
        <w:t xml:space="preserve">).</w:t>
      </w:r>
    </w:p>
  </w:footnote>
  <w:footnote w:id="152">
    <w:p>
      <w:pPr>
        <w:pStyle w:val="FootnoteText"/>
      </w:pPr>
      <w:r>
        <w:rPr>
          <w:rStyle w:val="FootnoteReference"/>
        </w:rPr>
        <w:footnoteRef/>
      </w:r>
      <w:r>
        <w:t xml:space="preserve"> </w:t>
      </w:r>
      <w:r>
        <w:rPr>
          <w:i/>
          <w:iCs/>
        </w:rPr>
        <w:t xml:space="preserve">See infra</w:t>
      </w:r>
      <w:r>
        <w:t xml:space="preserve"> </w:t>
      </w:r>
      <w:r>
        <w:t xml:space="preserve">App. D (Karpathy-Loop Per-Phase Rubric) (vault</w:t>
      </w:r>
      <w:r>
        <w:t xml:space="preserve"> </w:t>
      </w:r>
      <w:r>
        <w:rPr>
          <w:rStyle w:val="VerbatimChar"/>
        </w:rPr>
        <w:t xml:space="preserve">RUNBOOK.md</w:t>
      </w:r>
      <w:r>
        <w:t xml:space="preserve"> </w:t>
      </w:r>
      <w:r>
        <w:t xml:space="preserve">Step 0 (Feedback intake) instructing the scheduled task to call the Netlify MCP</w:t>
      </w:r>
      <w:r>
        <w:t xml:space="preserve"> </w:t>
      </w:r>
      <w:r>
        <w:rPr>
          <w:rStyle w:val="VerbatimChar"/>
        </w:rPr>
        <w:t xml:space="preserve">manage-form-submissions</w:t>
      </w:r>
      <w:r>
        <w:t xml:space="preserve"> </w:t>
      </w:r>
      <w:r>
        <w:t xml:space="preserve">with</w:t>
      </w:r>
      <w:r>
        <w:t xml:space="preserve"> </w:t>
      </w:r>
      <w:r>
        <w:rPr>
          <w:rStyle w:val="VerbatimChar"/>
        </w:rPr>
        <w:t xml:space="preserve">action: “get-submissions”</w:t>
      </w:r>
      <w:r>
        <w:t xml:space="preserve"> </w:t>
      </w:r>
      <w:r>
        <w:t xml:space="preserve">before the phase dispatcher selects the active phase, triage each comment into one of six buckets (trivial fix, structural, analytical depth, cross-reference, topic-level or doctrinal gap, verification), log a typed</w:t>
      </w:r>
      <w:r>
        <w:t xml:space="preserve"> </w:t>
      </w:r>
      <w:r>
        <w:rPr>
          <w:i/>
          <w:iCs/>
        </w:rPr>
        <w:t xml:space="preserve">professor-feedback</w:t>
      </w:r>
      <w:r>
        <w:t xml:space="preserve"> </w:t>
      </w:r>
      <w:r>
        <w:rPr>
          <w:rStyle w:val="VerbatimChar"/>
        </w:rPr>
        <w:t xml:space="preserve">pending_issues</w:t>
      </w:r>
      <w:r>
        <w:t xml:space="preserve"> </w:t>
      </w:r>
      <w:r>
        <w:t xml:space="preserve">entry with the submitter’s name and email plus the verbatim comment and the routing field set to the phase that owns the fix, route trivial fixes inline on the same run before dispatch, and require each phase’s scope-selection step to prefer pages with open</w:t>
      </w:r>
      <w:r>
        <w:t xml:space="preserve"> </w:t>
      </w:r>
      <w:r>
        <w:rPr>
          <w:i/>
          <w:iCs/>
        </w:rPr>
        <w:t xml:space="preserve">professor-feedback</w:t>
      </w:r>
      <w:r>
        <w:t xml:space="preserve"> </w:t>
      </w:r>
      <w:r>
        <w:t xml:space="preserve">issues routed to that phase before applying the usual priority rules);</w:t>
      </w:r>
      <w:r>
        <w:t xml:space="preserve"> </w:t>
      </w:r>
      <w:r>
        <w:rPr>
          <w:i/>
          <w:iCs/>
        </w:rPr>
        <w:t xml:space="preserve">see also infra</w:t>
      </w:r>
      <w:r>
        <w:t xml:space="preserve"> </w:t>
      </w:r>
      <w:r>
        <w:t xml:space="preserve">Section VIII (From Vault to Website) (cross-reference to the deployment-side of the feedback loop, the page-feedback form rendered into the static site’s SPA shell at the deployed URL).</w:t>
      </w:r>
    </w:p>
  </w:footnote>
  <w:footnote w:id="153">
    <w:p>
      <w:pPr>
        <w:pStyle w:val="FootnoteText"/>
      </w:pPr>
      <w:r>
        <w:rPr>
          <w:rStyle w:val="FootnoteReference"/>
        </w:rPr>
        <w:footnoteRef/>
      </w:r>
      <w:r>
        <w:t xml:space="preserve"> </w:t>
      </w:r>
      <w:r>
        <w:rPr>
          <w:i/>
          <w:iCs/>
        </w:rPr>
        <w:t xml:space="preserve">Trump v. United States</w:t>
      </w:r>
      <w:r>
        <w:t xml:space="preserve">, 603 U.S. 593 (2024) (presidential immunity holding underlying the skeleton-stage brief);</w:t>
      </w:r>
      <w:r>
        <w:t xml:space="preserve"> </w:t>
      </w:r>
      <w:r>
        <w:rPr>
          <w:i/>
          <w:iCs/>
        </w:rPr>
        <w:t xml:space="preserve">United States v. Lopez</w:t>
      </w:r>
      <w:r>
        <w:t xml:space="preserve">, 514 U.S. 549 (1995) and</w:t>
      </w:r>
      <w:r>
        <w:t xml:space="preserve"> </w:t>
      </w:r>
      <w:r>
        <w:rPr>
          <w:i/>
          <w:iCs/>
        </w:rPr>
        <w:t xml:space="preserve">United States v. Morrison</w:t>
      </w:r>
      <w:r>
        <w:t xml:space="preserve">, 529 U.S. 598 (2000) (Commerce Clause limits underlying the mid-cycle lecture);</w:t>
      </w:r>
      <w:r>
        <w:t xml:space="preserve"> </w:t>
      </w:r>
      <w:r>
        <w:rPr>
          <w:i/>
          <w:iCs/>
        </w:rPr>
        <w:t xml:space="preserve">Gonzales v. Raich</w:t>
      </w:r>
      <w:r>
        <w:t xml:space="preserve">, 545 U.S. 1 (2005) (Commerce Clause aggregation principle underlying the full-Enrich-cycle brief).</w:t>
      </w:r>
    </w:p>
  </w:footnote>
  <w:footnote w:id="156">
    <w:p>
      <w:pPr>
        <w:pStyle w:val="FootnoteText"/>
      </w:pPr>
      <w:r>
        <w:rPr>
          <w:rStyle w:val="FootnoteReference"/>
        </w:rPr>
        <w:footnoteRef/>
      </w:r>
      <w:r>
        <w:t xml:space="preserve"> </w:t>
      </w:r>
      <w:r>
        <w:rPr>
          <w:i/>
          <w:iCs/>
        </w:rPr>
        <w:t xml:space="preserve">See infra</w:t>
      </w:r>
      <w:r>
        <w:t xml:space="preserve"> </w:t>
      </w:r>
      <w:r>
        <w:t xml:space="preserve">App. A (Input Inventory) (deployed-site URL https://constitutionallaw.netlify.app and 198-page corpus snapshot of 92 case briefs, 27 doctrinal topic pages, and 79 lecture summaries as of the progress-report date).</w:t>
      </w:r>
    </w:p>
  </w:footnote>
  <w:footnote w:id="157">
    <w:p>
      <w:pPr>
        <w:pStyle w:val="FootnoteText"/>
      </w:pPr>
      <w:r>
        <w:rPr>
          <w:rStyle w:val="FootnoteReference"/>
        </w:rPr>
        <w:footnoteRef/>
      </w:r>
      <w:r>
        <w:t xml:space="preserve"> </w:t>
      </w:r>
      <w:r>
        <w:rPr>
          <w:i/>
          <w:iCs/>
        </w:rPr>
        <w:t xml:space="preserve">See infra</w:t>
      </w:r>
      <w:r>
        <w:t xml:space="preserve"> </w:t>
      </w:r>
      <w:r>
        <w:t xml:space="preserve">fig. 3.9 (deployed site’s About page as the deployed shell’s self-description naming the rotation-built provenance; captured from the deployed site at https://constitutionallaw.netlify.app, May 26, 2026).</w:t>
      </w:r>
    </w:p>
  </w:footnote>
  <w:footnote w:id="158">
    <w:p>
      <w:pPr>
        <w:pStyle w:val="FootnoteText"/>
      </w:pPr>
      <w:r>
        <w:rPr>
          <w:rStyle w:val="FootnoteReference"/>
        </w:rPr>
        <w:footnoteRef/>
      </w:r>
      <w:r>
        <w:t xml:space="preserve"> </w:t>
      </w:r>
      <w:r>
        <w:t xml:space="preserve">The author’s understanding, subject to Professor Chandler’s confirmation, is that the May 2026 snapshot pages were published as review-ready drafts and had not been individually professor-approved before going live; the build-time professorial-review checkpoint is the workflow the architecture enables and the Deploy entry guard holds, not a completed fact this article can claim of the snapshot. The static-versus-chatbot architectural contrast developed at Section XII.B and the governance posture developed at Section XIII.C both rest on the architecture’s gatekeeping capability rather than on any assertion of completed review.</w:t>
      </w:r>
    </w:p>
  </w:footnote>
  <w:footnote w:id="160">
    <w:p>
      <w:pPr>
        <w:pStyle w:val="FootnoteText"/>
      </w:pPr>
      <w:r>
        <w:rPr>
          <w:rStyle w:val="FootnoteReference"/>
        </w:rPr>
        <w:footnoteRef/>
      </w:r>
      <w:r>
        <w:t xml:space="preserve"> </w:t>
      </w:r>
      <w:r>
        <w:rPr>
          <w:i/>
          <w:iCs/>
        </w:rPr>
        <w:t xml:space="preserve">See infra</w:t>
      </w:r>
      <w:r>
        <w:t xml:space="preserve"> </w:t>
      </w:r>
      <w:r>
        <w:t xml:space="preserve">App. F (Technical Setup) (</w:t>
      </w:r>
      <w:r>
        <w:rPr>
          <w:rStyle w:val="VerbatimChar"/>
        </w:rPr>
        <w:t xml:space="preserve">.site/build.py</w:t>
      </w:r>
      <w:r>
        <w:t xml:space="preserve"> </w:t>
      </w:r>
      <w:r>
        <w:t xml:space="preserve">Python build script, approximately 700 lines, plus three hand-written static-shell files</w:t>
      </w:r>
      <w:r>
        <w:t xml:space="preserve"> </w:t>
      </w:r>
      <w:r>
        <w:rPr>
          <w:rStyle w:val="VerbatimChar"/>
        </w:rPr>
        <w:t xml:space="preserve">.site/dist/index.html</w:t>
      </w:r>
      <w:r>
        <w:t xml:space="preserve">,</w:t>
      </w:r>
      <w:r>
        <w:t xml:space="preserve"> </w:t>
      </w:r>
      <w:r>
        <w:rPr>
          <w:rStyle w:val="VerbatimChar"/>
        </w:rPr>
        <w:t xml:space="preserve">.site/dist/app.js</w:t>
      </w:r>
      <w:r>
        <w:t xml:space="preserve">, and</w:t>
      </w:r>
      <w:r>
        <w:t xml:space="preserve"> </w:t>
      </w:r>
      <w:r>
        <w:rPr>
          <w:rStyle w:val="VerbatimChar"/>
        </w:rPr>
        <w:t xml:space="preserve">.site/dist/style.css</w:t>
      </w:r>
      <w:r>
        <w:t xml:space="preserve">).</w:t>
      </w:r>
    </w:p>
  </w:footnote>
  <w:footnote w:id="161">
    <w:p>
      <w:pPr>
        <w:pStyle w:val="FootnoteText"/>
      </w:pPr>
      <w:r>
        <w:rPr>
          <w:rStyle w:val="FootnoteReference"/>
        </w:rPr>
        <w:footnoteRef/>
      </w:r>
      <w:r>
        <w:t xml:space="preserve"> </w:t>
      </w:r>
      <w:r>
        <w:rPr>
          <w:i/>
          <w:iCs/>
        </w:rPr>
        <w:t xml:space="preserve">Id.</w:t>
      </w:r>
      <w:r>
        <w:t xml:space="preserve"> </w:t>
      </w:r>
      <w:r>
        <w:t xml:space="preserve">(build pipeline walking Cases/, Topics/, and Lectures/ content folders; YAML frontmatter parsing; markdown-it rendering; Obsidian wiki-link resolution to hash routes of the form #/p/</w:t>
      </w:r>
      <w:r>
        <w:t xml:space="preserve">/</w:t>
      </w:r>
      <w:r>
        <w:t xml:space="preserve">; structured holding-bar and citation-metadata extraction per case page; emission of</w:t>
      </w:r>
      <w:r>
        <w:t xml:space="preserve"> </w:t>
      </w:r>
      <w:r>
        <w:rPr>
          <w:rStyle w:val="VerbatimChar"/>
        </w:rPr>
        <w:t xml:space="preserve">.site/dist/pages.json</w:t>
      </w:r>
      <w:r>
        <w:t xml:space="preserve">,</w:t>
      </w:r>
      <w:r>
        <w:t xml:space="preserve"> </w:t>
      </w:r>
      <w:r>
        <w:rPr>
          <w:rStyle w:val="VerbatimChar"/>
        </w:rPr>
        <w:t xml:space="preserve">.site/dist/manifest.json</w:t>
      </w:r>
      <w:r>
        <w:t xml:space="preserve">, and</w:t>
      </w:r>
      <w:r>
        <w:t xml:space="preserve"> </w:t>
      </w:r>
      <w:r>
        <w:rPr>
          <w:rStyle w:val="VerbatimChar"/>
        </w:rPr>
        <w:t xml:space="preserve">.site/dist/search.json</w:t>
      </w:r>
      <w:r>
        <w:t xml:space="preserve">).</w:t>
      </w:r>
    </w:p>
  </w:footnote>
  <w:footnote w:id="162">
    <w:p>
      <w:pPr>
        <w:pStyle w:val="FootnoteText"/>
      </w:pPr>
      <w:r>
        <w:rPr>
          <w:rStyle w:val="FootnoteReference"/>
        </w:rPr>
        <w:footnoteRef/>
      </w:r>
      <w:r>
        <w:t xml:space="preserve"> </w:t>
      </w:r>
      <w:r>
        <w:rPr>
          <w:i/>
          <w:iCs/>
        </w:rPr>
        <w:t xml:space="preserve">See infra</w:t>
      </w:r>
      <w:r>
        <w:t xml:space="preserve"> </w:t>
      </w:r>
      <w:r>
        <w:t xml:space="preserve">App. F (Technical Setup) (hand-written SPA shell at</w:t>
      </w:r>
      <w:r>
        <w:t xml:space="preserve"> </w:t>
      </w:r>
      <w:r>
        <w:rPr>
          <w:rStyle w:val="VerbatimChar"/>
        </w:rPr>
        <w:t xml:space="preserve">.site/dist/index.html</w:t>
      </w:r>
      <w:r>
        <w:t xml:space="preserve">,</w:t>
      </w:r>
      <w:r>
        <w:t xml:space="preserve"> </w:t>
      </w:r>
      <w:r>
        <w:rPr>
          <w:rStyle w:val="VerbatimChar"/>
        </w:rPr>
        <w:t xml:space="preserve">.site/dist/app.js</w:t>
      </w:r>
      <w:r>
        <w:t xml:space="preserve">, and</w:t>
      </w:r>
      <w:r>
        <w:t xml:space="preserve"> </w:t>
      </w:r>
      <w:r>
        <w:rPr>
          <w:rStyle w:val="VerbatimChar"/>
        </w:rPr>
        <w:t xml:space="preserve">.site/dist/style.css</w:t>
      </w:r>
      <w:r>
        <w:t xml:space="preserve">; hash-route navigation reaching #/cases, #/topics, #/lectures, #/recent, #/about, and #/p/</w:t>
      </w:r>
      <w:r>
        <w:t xml:space="preserve">; ⌘K search palette wired to search.json; PostHog analytics configured with</w:t>
      </w:r>
      <w:r>
        <w:t xml:space="preserve"> </w:t>
      </w:r>
      <w:r>
        <w:rPr>
          <w:rStyle w:val="VerbatimChar"/>
        </w:rPr>
        <w:t xml:space="preserve">disable_session_recording: true</w:t>
      </w:r>
      <w:r>
        <w:t xml:space="preserve"> </w:t>
      </w:r>
      <w:r>
        <w:t xml:space="preserve">and</w:t>
      </w:r>
      <w:r>
        <w:t xml:space="preserve"> </w:t>
      </w:r>
      <w:r>
        <w:rPr>
          <w:rStyle w:val="VerbatimChar"/>
        </w:rPr>
        <w:t xml:space="preserve">respect_dnt: true</w:t>
      </w:r>
      <w:r>
        <w:t xml:space="preserve">; hidden Netlify</w:t>
      </w:r>
      <w:r>
        <w:t xml:space="preserve"> </w:t>
      </w:r>
      <w:r>
        <w:rPr>
          <w:rStyle w:val="VerbatimChar"/>
        </w:rPr>
        <w:t xml:space="preserve">page-feedback</w:t>
      </w:r>
      <w:r>
        <w:t xml:space="preserve"> </w:t>
      </w:r>
      <w:r>
        <w:t xml:space="preserve">form stub registered at build time).</w:t>
      </w:r>
    </w:p>
  </w:footnote>
  <w:footnote w:id="163">
    <w:p>
      <w:pPr>
        <w:pStyle w:val="FootnoteText"/>
      </w:pPr>
      <w:r>
        <w:rPr>
          <w:rStyle w:val="FootnoteReference"/>
        </w:rPr>
        <w:footnoteRef/>
      </w:r>
      <w:r>
        <w:t xml:space="preserve"> </w:t>
      </w:r>
      <w:r>
        <w:rPr>
          <w:i/>
          <w:iCs/>
        </w:rPr>
        <w:t xml:space="preserve">See infra</w:t>
      </w:r>
      <w:r>
        <w:t xml:space="preserve"> </w:t>
      </w:r>
      <w:r>
        <w:t xml:space="preserve">fig. 3.8 (deployed site’s ⌘K search palette open with a</w:t>
      </w:r>
      <w:r>
        <w:t xml:space="preserve"> </w:t>
      </w:r>
      <w:r>
        <w:rPr>
          <w:i/>
          <w:iCs/>
        </w:rPr>
        <w:t xml:space="preserve">Marbury</w:t>
      </w:r>
      <w:r>
        <w:t xml:space="preserve"> </w:t>
      </w:r>
      <w:r>
        <w:t xml:space="preserve">query active; captured from the deployed site at https://constitutionallaw.netlify.app, May 26, 2026).</w:t>
      </w:r>
    </w:p>
  </w:footnote>
  <w:footnote w:id="165">
    <w:p>
      <w:pPr>
        <w:pStyle w:val="FootnoteText"/>
      </w:pPr>
      <w:r>
        <w:rPr>
          <w:rStyle w:val="FootnoteReference"/>
        </w:rPr>
        <w:footnoteRef/>
      </w:r>
      <w:r>
        <w:t xml:space="preserve"> </w:t>
      </w:r>
      <w:r>
        <w:rPr>
          <w:i/>
          <w:iCs/>
        </w:rPr>
        <w:t xml:space="preserve">See infra</w:t>
      </w:r>
      <w:r>
        <w:t xml:space="preserve"> </w:t>
      </w:r>
      <w:r>
        <w:t xml:space="preserve">App. F (Technical Setup) (Netlify CLI direct-upload deploy procedure in vault</w:t>
      </w:r>
      <w:r>
        <w:t xml:space="preserve"> </w:t>
      </w:r>
      <w:r>
        <w:rPr>
          <w:rStyle w:val="VerbatimChar"/>
        </w:rPr>
        <w:t xml:space="preserve">DEPLOY.md</w:t>
      </w:r>
      <w:r>
        <w:t xml:space="preserve">, authenticated by a local personal access token at</w:t>
      </w:r>
      <w:r>
        <w:t xml:space="preserve"> </w:t>
      </w:r>
      <w:r>
        <w:rPr>
          <w:rStyle w:val="VerbatimChar"/>
        </w:rPr>
        <w:t xml:space="preserve">.site/.netlify-token</w:t>
      </w:r>
      <w:r>
        <w:t xml:space="preserve"> </w:t>
      </w:r>
      <w:r>
        <w:t xml:space="preserve">that is gitignored and never committed).</w:t>
      </w:r>
    </w:p>
  </w:footnote>
  <w:footnote w:id="166">
    <w:p>
      <w:pPr>
        <w:pStyle w:val="FootnoteText"/>
      </w:pPr>
      <w:r>
        <w:rPr>
          <w:rStyle w:val="FootnoteReference"/>
        </w:rPr>
        <w:footnoteRef/>
      </w:r>
      <w:r>
        <w:t xml:space="preserve"> </w:t>
      </w:r>
      <w:r>
        <w:rPr>
          <w:i/>
          <w:iCs/>
        </w:rPr>
        <w:t xml:space="preserve">Id.</w:t>
      </w:r>
      <w:r>
        <w:t xml:space="preserve"> </w:t>
      </w:r>
      <w:r>
        <w:t xml:space="preserve">(</w:t>
      </w:r>
      <w:r>
        <w:rPr>
          <w:rStyle w:val="VerbatimChar"/>
        </w:rPr>
        <w:t xml:space="preserve">.site/dist/netlify.toml</w:t>
      </w:r>
      <w:r>
        <w:t xml:space="preserve"> </w:t>
      </w:r>
      <w:r>
        <w:t xml:space="preserve">disabling post-processing via</w:t>
      </w:r>
      <w:r>
        <w:t xml:space="preserve"> </w:t>
      </w:r>
      <w:r>
        <w:rPr>
          <w:rStyle w:val="VerbatimChar"/>
        </w:rPr>
        <w:t xml:space="preserve">skip_processing = true</w:t>
      </w:r>
      <w:r>
        <w:t xml:space="preserve"> </w:t>
      </w:r>
      <w:r>
        <w:t xml:space="preserve">and registering a single</w:t>
      </w:r>
      <w:r>
        <w:t xml:space="preserve"> </w:t>
      </w:r>
      <w:r>
        <w:rPr>
          <w:rStyle w:val="VerbatimChar"/>
        </w:rPr>
        <w:t xml:space="preserve">/*</w:t>
      </w:r>
      <w:r>
        <w:t xml:space="preserve"> </w:t>
      </w:r>
      <w:r>
        <w:t xml:space="preserve">to</w:t>
      </w:r>
      <w:r>
        <w:t xml:space="preserve"> </w:t>
      </w:r>
      <w:r>
        <w:rPr>
          <w:rStyle w:val="VerbatimChar"/>
        </w:rPr>
        <w:t xml:space="preserve">/index.html</w:t>
      </w:r>
      <w:r>
        <w:t xml:space="preserve"> </w:t>
      </w:r>
      <w:r>
        <w:t xml:space="preserve">SPA-style redirect; three-tier fallback chain documented in</w:t>
      </w:r>
      <w:r>
        <w:t xml:space="preserve"> </w:t>
      </w:r>
      <w:r>
        <w:rPr>
          <w:rStyle w:val="VerbatimChar"/>
        </w:rPr>
        <w:t xml:space="preserve">DEPLOY.md</w:t>
      </w:r>
      <w:r>
        <w:t xml:space="preserve"> </w:t>
      </w:r>
      <w:r>
        <w:t xml:space="preserve">with the Netlify CLI direct upload as the preferred path because it does not consume Netlify build minutes, the Netlify MCP as fallback when the local PAT is missing, and</w:t>
      </w:r>
      <w:r>
        <w:t xml:space="preserve"> </w:t>
      </w:r>
      <w:r>
        <w:rPr>
          <w:rStyle w:val="VerbatimChar"/>
        </w:rPr>
        <w:t xml:space="preserve">.site/deploy.sh</w:t>
      </w:r>
      <w:r>
        <w:t xml:space="preserve"> </w:t>
      </w:r>
      <w:r>
        <w:t xml:space="preserve">as last-resort shell wrapper).</w:t>
      </w:r>
    </w:p>
  </w:footnote>
  <w:footnote w:id="167">
    <w:p>
      <w:pPr>
        <w:pStyle w:val="FootnoteText"/>
      </w:pPr>
      <w:r>
        <w:rPr>
          <w:rStyle w:val="FootnoteReference"/>
        </w:rPr>
        <w:footnoteRef/>
      </w:r>
      <w:r>
        <w:t xml:space="preserve"> </w:t>
      </w:r>
      <w:r>
        <w:rPr>
          <w:i/>
          <w:iCs/>
        </w:rPr>
        <w:t xml:space="preserve">See infra</w:t>
      </w:r>
      <w:r>
        <w:t xml:space="preserve"> </w:t>
      </w:r>
      <w:r>
        <w:t xml:space="preserve">App. F (Technical Setup) (vault</w:t>
      </w:r>
      <w:r>
        <w:t xml:space="preserve"> </w:t>
      </w:r>
      <w:r>
        <w:rPr>
          <w:rStyle w:val="VerbatimChar"/>
        </w:rPr>
        <w:t xml:space="preserve">RUNBOOK.md</w:t>
      </w:r>
      <w:r>
        <w:t xml:space="preserve"> </w:t>
      </w:r>
      <w:r>
        <w:t xml:space="preserve">Phase: Deploy section, treating Deploy as a first-class rotation phase with its own per-phase rubric file at</w:t>
      </w:r>
      <w:r>
        <w:t xml:space="preserve"> </w:t>
      </w:r>
      <w:r>
        <w:rPr>
          <w:rStyle w:val="VerbatimChar"/>
        </w:rPr>
        <w:t xml:space="preserve">rubric/deploy.md</w:t>
      </w:r>
      <w:r>
        <w:t xml:space="preserve">, its own pending-issue lifecycle with</w:t>
      </w:r>
      <w:r>
        <w:t xml:space="preserve"> </w:t>
      </w:r>
      <w:r>
        <w:rPr>
          <w:rStyle w:val="VerbatimChar"/>
        </w:rPr>
        <w:t xml:space="preserve">applies_to_phase: deploy</w:t>
      </w:r>
      <w:r>
        <w:t xml:space="preserve">, and a cardinal rule prohibiting publication of any vault that failed the preceding Verify run).</w:t>
      </w:r>
    </w:p>
  </w:footnote>
  <w:footnote w:id="168">
    <w:p>
      <w:pPr>
        <w:pStyle w:val="FootnoteText"/>
      </w:pPr>
      <w:r>
        <w:rPr>
          <w:rStyle w:val="FootnoteReference"/>
        </w:rPr>
        <w:footnoteRef/>
      </w:r>
      <w:r>
        <w:t xml:space="preserve"> </w:t>
      </w:r>
      <w:r>
        <w:rPr>
          <w:i/>
          <w:iCs/>
        </w:rPr>
        <w:t xml:space="preserve">See infra</w:t>
      </w:r>
      <w:r>
        <w:t xml:space="preserve"> </w:t>
      </w:r>
      <w:r>
        <w:t xml:space="preserve">App. F (Technical Setup) (vault</w:t>
      </w:r>
      <w:r>
        <w:t xml:space="preserve"> </w:t>
      </w:r>
      <w:r>
        <w:rPr>
          <w:rStyle w:val="VerbatimChar"/>
        </w:rPr>
        <w:t xml:space="preserve">DEPLOY.md</w:t>
      </w:r>
      <w:r>
        <w:t xml:space="preserve"> </w:t>
      </w:r>
      <w:r>
        <w:t xml:space="preserve">Step 3.5 post-deploy verification protocol: manifest-count comparison against the production CDN at</w:t>
      </w:r>
      <w:r>
        <w:t xml:space="preserve"> </w:t>
      </w:r>
      <w:r>
        <w:rPr>
          <w:rStyle w:val="VerbatimChar"/>
        </w:rPr>
        <w:t xml:space="preserve">https://constitutionallaw.netlify.app/manifest.json</w:t>
      </w:r>
      <w:r>
        <w:t xml:space="preserve">; deterministically sampled five-case-brief-plus-three-topic GET sample with title-presence check; live</w:t>
      </w:r>
      <w:r>
        <w:t xml:space="preserve"> </w:t>
      </w:r>
      <w:r>
        <w:rPr>
          <w:rStyle w:val="VerbatimChar"/>
        </w:rPr>
        <w:t xml:space="preserve">search.json</w:t>
      </w:r>
      <w:r>
        <w:t xml:space="preserve"> </w:t>
      </w:r>
      <w:r>
        <w:t xml:space="preserve">sanity probe confirming a</w:t>
      </w:r>
      <w:r>
        <w:t xml:space="preserve"> </w:t>
      </w:r>
      <w:r>
        <w:rPr>
          <w:i/>
          <w:iCs/>
        </w:rPr>
        <w:t xml:space="preserve">Marbury</w:t>
      </w:r>
      <w:r>
        <w:t xml:space="preserve">-titled entry whose text contains “judicial review”; five-page Source Materials HEAD sample with Content-Type check; each failure mode opening a typed pending issue (</w:t>
      </w:r>
      <w:r>
        <w:rPr>
          <w:rStyle w:val="VerbatimChar"/>
        </w:rPr>
        <w:t xml:space="preserve">deploy-count-mismatch</w:t>
      </w:r>
      <w:r>
        <w:t xml:space="preserve">,</w:t>
      </w:r>
      <w:r>
        <w:t xml:space="preserve"> </w:t>
      </w:r>
      <w:r>
        <w:rPr>
          <w:rStyle w:val="VerbatimChar"/>
        </w:rPr>
        <w:t xml:space="preserve">deploy-page-sample-failed</w:t>
      </w:r>
      <w:r>
        <w:t xml:space="preserve">,</w:t>
      </w:r>
      <w:r>
        <w:t xml:space="preserve"> </w:t>
      </w:r>
      <w:r>
        <w:rPr>
          <w:rStyle w:val="VerbatimChar"/>
        </w:rPr>
        <w:t xml:space="preserve">deploy-search-sanity-failed</w:t>
      </w:r>
      <w:r>
        <w:t xml:space="preserve">,</w:t>
      </w:r>
      <w:r>
        <w:t xml:space="preserve"> </w:t>
      </w:r>
      <w:r>
        <w:rPr>
          <w:rStyle w:val="VerbatimChar"/>
        </w:rPr>
        <w:t xml:space="preserve">deploy-source-sample-failed</w:t>
      </w:r>
      <w:r>
        <w:t xml:space="preserve">) and blocking state advance).</w:t>
      </w:r>
    </w:p>
  </w:footnote>
  <w:footnote w:id="170">
    <w:p>
      <w:pPr>
        <w:pStyle w:val="FootnoteText"/>
      </w:pPr>
      <w:r>
        <w:rPr>
          <w:rStyle w:val="FootnoteReference"/>
        </w:rPr>
        <w:footnoteRef/>
      </w:r>
      <w:r>
        <w:t xml:space="preserve"> </w:t>
      </w:r>
      <w:r>
        <w:rPr>
          <w:i/>
          <w:iCs/>
        </w:rPr>
        <w:t xml:space="preserve">See infra</w:t>
      </w:r>
      <w:r>
        <w:t xml:space="preserve"> </w:t>
      </w:r>
      <w:r>
        <w:t xml:space="preserve">App. F (Technical Setup) (</w:t>
      </w:r>
      <w:r>
        <w:rPr>
          <w:rStyle w:val="VerbatimChar"/>
        </w:rPr>
        <w:t xml:space="preserve">.site/build.py</w:t>
      </w:r>
      <w:r>
        <w:t xml:space="preserve"> </w:t>
      </w:r>
      <w:r>
        <w:t xml:space="preserve">wiki-link rendering for any target prefixed</w:t>
      </w:r>
      <w:r>
        <w:t xml:space="preserve"> </w:t>
      </w:r>
      <w:r>
        <w:rPr>
          <w:rStyle w:val="VerbatimChar"/>
        </w:rPr>
        <w:t xml:space="preserve">Source Materials/</w:t>
      </w:r>
      <w:r>
        <w:t xml:space="preserve">, emitting</w:t>
      </w:r>
      <w:r>
        <w:t xml:space="preserve"> </w:t>
      </w:r>
      <w:r>
        <w:rPr>
          <w:rStyle w:val="VerbatimChar"/>
        </w:rPr>
        <w:t xml:space="preserve">&lt;a class="source-download" href="source/&lt;url-encoded-filename&gt;" download&gt;</w:t>
      </w:r>
      <w:r>
        <w:t xml:space="preserve"> </w:t>
      </w:r>
      <w:r>
        <w:t xml:space="preserve">and copying the</w:t>
      </w:r>
      <w:r>
        <w:t xml:space="preserve"> </w:t>
      </w:r>
      <w:r>
        <w:rPr>
          <w:rStyle w:val="VerbatimChar"/>
        </w:rPr>
        <w:t xml:space="preserve">Source Materials/</w:t>
      </w:r>
      <w:r>
        <w:t xml:space="preserve"> </w:t>
      </w:r>
      <w:r>
        <w:t xml:space="preserve">tree into</w:t>
      </w:r>
      <w:r>
        <w:t xml:space="preserve"> </w:t>
      </w:r>
      <w:r>
        <w:rPr>
          <w:rStyle w:val="VerbatimChar"/>
        </w:rPr>
        <w:t xml:space="preserve">.site/dist/source/</w:t>
      </w:r>
      <w:r>
        <w:t xml:space="preserve">;</w:t>
      </w:r>
      <w:r>
        <w:t xml:space="preserve"> </w:t>
      </w:r>
      <w:r>
        <w:rPr>
          <w:rStyle w:val="VerbatimChar"/>
        </w:rPr>
        <w:t xml:space="preserve">.site/dist/_headers</w:t>
      </w:r>
      <w:r>
        <w:t xml:space="preserve"> </w:t>
      </w:r>
      <w:r>
        <w:t xml:space="preserve">rule applying long-lived</w:t>
      </w:r>
      <w:r>
        <w:t xml:space="preserve"> </w:t>
      </w:r>
      <w:r>
        <w:rPr>
          <w:rStyle w:val="VerbatimChar"/>
        </w:rPr>
        <w:t xml:space="preserve">max-age=604800</w:t>
      </w:r>
      <w:r>
        <w:t xml:space="preserve"> </w:t>
      </w:r>
      <w:r>
        <w:t xml:space="preserve">caching to the</w:t>
      </w:r>
      <w:r>
        <w:t xml:space="preserve"> </w:t>
      </w:r>
      <w:r>
        <w:rPr>
          <w:rStyle w:val="VerbatimChar"/>
        </w:rPr>
        <w:t xml:space="preserve">/source/*</w:t>
      </w:r>
      <w:r>
        <w:t xml:space="preserve"> </w:t>
      </w:r>
      <w:r>
        <w:t xml:space="preserve">path while keeping the generated JSON artifacts on short TTLs).</w:t>
      </w:r>
    </w:p>
  </w:footnote>
  <w:footnote w:id="171">
    <w:p>
      <w:pPr>
        <w:pStyle w:val="FootnoteText"/>
      </w:pPr>
      <w:r>
        <w:rPr>
          <w:rStyle w:val="FootnoteReference"/>
        </w:rPr>
        <w:footnoteRef/>
      </w:r>
      <w:r>
        <w:t xml:space="preserve"> </w:t>
      </w:r>
      <w:r>
        <w:rPr>
          <w:i/>
          <w:iCs/>
        </w:rPr>
        <w:t xml:space="preserve">See infra</w:t>
      </w:r>
      <w:r>
        <w:t xml:space="preserve"> </w:t>
      </w:r>
      <w:r>
        <w:t xml:space="preserve">App. F (Technical Setup) (vault</w:t>
      </w:r>
      <w:r>
        <w:t xml:space="preserve"> </w:t>
      </w:r>
      <w:r>
        <w:rPr>
          <w:rStyle w:val="VerbatimChar"/>
        </w:rPr>
        <w:t xml:space="preserve">RUNBOOK.md</w:t>
      </w:r>
      <w:r>
        <w:t xml:space="preserve"> </w:t>
      </w:r>
      <w:r>
        <w:t xml:space="preserve">Step 0 feedback-intake protocol pulling submissions from the Netlify</w:t>
      </w:r>
      <w:r>
        <w:t xml:space="preserve"> </w:t>
      </w:r>
      <w:r>
        <w:rPr>
          <w:rStyle w:val="VerbatimChar"/>
        </w:rPr>
        <w:t xml:space="preserve">page-feedback</w:t>
      </w:r>
      <w:r>
        <w:t xml:space="preserve"> </w:t>
      </w:r>
      <w:r>
        <w:t xml:space="preserve">form via the</w:t>
      </w:r>
      <w:r>
        <w:t xml:space="preserve"> </w:t>
      </w:r>
      <w:r>
        <w:rPr>
          <w:rStyle w:val="VerbatimChar"/>
        </w:rPr>
        <w:t xml:space="preserve">manage-form-submissions</w:t>
      </w:r>
      <w:r>
        <w:t xml:space="preserve"> </w:t>
      </w:r>
      <w:r>
        <w:t xml:space="preserve">MCP, triaging each submission to the maintenance phase that can fix it, logging typed pending issues carrying</w:t>
      </w:r>
      <w:r>
        <w:t xml:space="preserve"> </w:t>
      </w:r>
      <w:r>
        <w:rPr>
          <w:rStyle w:val="VerbatimChar"/>
        </w:rPr>
        <w:t xml:space="preserve">metadata.page_id</w:t>
      </w:r>
      <w:r>
        <w:t xml:space="preserve">,</w:t>
      </w:r>
      <w:r>
        <w:t xml:space="preserve"> </w:t>
      </w:r>
      <w:r>
        <w:rPr>
          <w:rStyle w:val="VerbatimChar"/>
        </w:rPr>
        <w:t xml:space="preserve">metadata.page_title</w:t>
      </w:r>
      <w:r>
        <w:t xml:space="preserve">,</w:t>
      </w:r>
      <w:r>
        <w:t xml:space="preserve"> </w:t>
      </w:r>
      <w:r>
        <w:rPr>
          <w:rStyle w:val="VerbatimChar"/>
        </w:rPr>
        <w:t xml:space="preserve">metadata.submitter_name</w:t>
      </w:r>
      <w:r>
        <w:t xml:space="preserve">,</w:t>
      </w:r>
      <w:r>
        <w:t xml:space="preserve"> </w:t>
      </w:r>
      <w:r>
        <w:rPr>
          <w:rStyle w:val="VerbatimChar"/>
        </w:rPr>
        <w:t xml:space="preserve">metadata.submitter_email</w:t>
      </w:r>
      <w:r>
        <w:t xml:space="preserve">,</w:t>
      </w:r>
      <w:r>
        <w:t xml:space="preserve"> </w:t>
      </w:r>
      <w:r>
        <w:rPr>
          <w:rStyle w:val="VerbatimChar"/>
        </w:rPr>
        <w:t xml:space="preserve">metadata.comment</w:t>
      </w:r>
      <w:r>
        <w:t xml:space="preserve">, and</w:t>
      </w:r>
      <w:r>
        <w:t xml:space="preserve"> </w:t>
      </w:r>
      <w:r>
        <w:rPr>
          <w:rStyle w:val="VerbatimChar"/>
        </w:rPr>
        <w:t xml:space="preserve">metadata.netlify_submission_id</w:t>
      </w:r>
      <w:r>
        <w:t xml:space="preserve">, deleting each submission after triage, and requiring each subsequent phase’s scope-selection step to prefer pages with open professor-feedback issues routed to that phase).</w:t>
      </w:r>
    </w:p>
  </w:footnote>
  <w:footnote w:id="172">
    <w:p>
      <w:pPr>
        <w:pStyle w:val="FootnoteText"/>
      </w:pPr>
      <w:r>
        <w:rPr>
          <w:rStyle w:val="FootnoteReference"/>
        </w:rPr>
        <w:footnoteRef/>
      </w:r>
      <w:r>
        <w:t xml:space="preserve"> </w:t>
      </w:r>
      <w:r>
        <w:rPr>
          <w:i/>
          <w:iCs/>
        </w:rPr>
        <w:t xml:space="preserve">See infra</w:t>
      </w:r>
      <w:r>
        <w:t xml:space="preserve"> </w:t>
      </w:r>
      <w:r>
        <w:t xml:space="preserve">fig. 3.10 (deployed site’s</w:t>
      </w:r>
      <w:r>
        <w:t xml:space="preserve"> </w:t>
      </w:r>
      <w:r>
        <w:rPr>
          <w:rStyle w:val="VerbatimChar"/>
        </w:rPr>
        <w:t xml:space="preserve">page-feedback</w:t>
      </w:r>
      <w:r>
        <w:t xml:space="preserve"> </w:t>
      </w:r>
      <w:r>
        <w:t xml:space="preserve">form in its open state on a case page; captured from the deployed site at https://constitutionallaw.netlify.app, May 26, 2026).</w:t>
      </w:r>
    </w:p>
  </w:footnote>
  <w:footnote w:id="174">
    <w:p>
      <w:pPr>
        <w:pStyle w:val="FootnoteText"/>
      </w:pPr>
      <w:r>
        <w:rPr>
          <w:rStyle w:val="FootnoteReference"/>
        </w:rPr>
        <w:footnoteRef/>
      </w:r>
      <w:r>
        <w:t xml:space="preserve"> </w:t>
      </w:r>
      <w:r>
        <w:rPr>
          <w:i/>
          <w:iCs/>
        </w:rPr>
        <w:t xml:space="preserve">See infra</w:t>
      </w:r>
      <w:r>
        <w:t xml:space="preserve"> </w:t>
      </w:r>
      <w:r>
        <w:t xml:space="preserve">App. F (Technical Setup) (deployed-site architecture: stable HTML and JSON artifacts produced at publish time by the build pipeline described above and served by the Netlify CDN without further model inference at request time; no LLM in the request path; the professor is the designed gating reviewer at the build-time checkpoint the architecture enables, and the May 2026 snapshot pages went live as review-ready drafts rather than as individually professor-approved pages, the author’s understanding subject to Professor Chandler’s confirmation);</w:t>
      </w:r>
      <w:r>
        <w:t xml:space="preserve"> </w:t>
      </w:r>
      <w:r>
        <w:rPr>
          <w:i/>
          <w:iCs/>
        </w:rPr>
        <w:t xml:space="preserve">see also infra</w:t>
      </w:r>
      <w:r>
        <w:t xml:space="preserve"> </w:t>
      </w:r>
      <w:r>
        <w:t xml:space="preserve">Section XII (Risks and Limits) (developing the architectural contrast between the review-ready static-site case study and chatbot architectures, with reference to the Magesh et al. hallucination findings).</w:t>
      </w:r>
    </w:p>
  </w:footnote>
  <w:footnote w:id="175">
    <w:p>
      <w:pPr>
        <w:pStyle w:val="FootnoteText"/>
      </w:pPr>
      <w:r>
        <w:rPr>
          <w:rStyle w:val="FootnoteReference"/>
        </w:rPr>
        <w:footnoteRef/>
      </w:r>
      <w:r>
        <w:t xml:space="preserve"> </w:t>
      </w:r>
      <w:r>
        <w:rPr>
          <w:i/>
          <w:iCs/>
        </w:rPr>
        <w:t xml:space="preserve">See</w:t>
      </w:r>
      <w:r>
        <w:t xml:space="preserve"> </w:t>
      </w:r>
      <w:r>
        <w:t xml:space="preserve">Ramteja Sajja, Yusuf Sermet, David M. Cwiertny &amp; Ibrahim Demir,</w:t>
      </w:r>
      <w:r>
        <w:t xml:space="preserve"> </w:t>
      </w:r>
      <w:r>
        <w:rPr>
          <w:i/>
          <w:iCs/>
        </w:rPr>
        <w:t xml:space="preserve">Platform-Independent and Curriculum-Oriented Intelligent Assistant for Higher Education</w:t>
      </w:r>
      <w:r>
        <w:t xml:space="preserve">, 20 Int’l J. Educ. Tech. Higher Educ., Art. 42 (2023), https://link.springer.com/article/10.1186/s41239-023-00412-7 (last visited May 17, 2026) (presenting a large-language-model-backed curriculum-oriented virtual teaching assistant deployable to any course as a conversational helper; cited here as a representative chatbot-architecture contrast to this article’s review-ready static-site case study, the architectural difference Section XII develops as a difference in where runtime risk lives).</w:t>
      </w:r>
    </w:p>
  </w:footnote>
  <w:footnote w:id="178">
    <w:p>
      <w:pPr>
        <w:pStyle w:val="FootnoteText"/>
      </w:pPr>
      <w:r>
        <w:rPr>
          <w:rStyle w:val="FootnoteReference"/>
        </w:rPr>
        <w:footnoteRef/>
      </w:r>
      <w:r>
        <w:t xml:space="preserve"> </w:t>
      </w:r>
      <w:r>
        <w:rPr>
          <w:i/>
          <w:iCs/>
        </w:rPr>
        <w:t xml:space="preserve">See infra</w:t>
      </w:r>
      <w:r>
        <w:t xml:space="preserve"> </w:t>
      </w:r>
      <w:r>
        <w:t xml:space="preserve">App. E (Cost and Time Log), Methodology Note (recording the cost-and-labor table as one of the gaps the article must close before it can ship, and identifying the prior anchored figure of approximately sixty percent of weekly Claude usage to the 198-page progress snapshot as a hand-wave that did not split by phase, by labor category, or by dollar count); the table this section reports is the counted-runs reconstruction the appendix’s methodology note describes. The four-labor-category mapping at note [^128]</w:t>
      </w:r>
      <w:r>
        <w:t xml:space="preserve"> </w:t>
      </w:r>
      <w:r>
        <w:rPr>
          <w:i/>
          <w:iCs/>
        </w:rPr>
        <w:t xml:space="preserve">infra</w:t>
      </w:r>
      <w:r>
        <w:t xml:space="preserve">.</w:t>
      </w:r>
    </w:p>
  </w:footnote>
  <w:footnote w:id="179">
    <w:p>
      <w:pPr>
        <w:pStyle w:val="FootnoteText"/>
      </w:pPr>
      <w:r>
        <w:rPr>
          <w:rStyle w:val="FootnoteReference"/>
        </w:rPr>
        <w:footnoteRef/>
      </w:r>
      <w:r>
        <w:t xml:space="preserve"> </w:t>
      </w:r>
      <w:r>
        <w:rPr>
          <w:i/>
          <w:iCs/>
        </w:rPr>
        <w:t xml:space="preserve">See infra</w:t>
      </w:r>
      <w:r>
        <w:t xml:space="preserve"> </w:t>
      </w:r>
      <w:r>
        <w:t xml:space="preserve">App. E (Cost and Time Log), Methodology Note (recording that this paper was produced by a comparable article-writing scheduled task whose own per-tick log is the source for the companion document</w:t>
      </w:r>
      <w:r>
        <w:t xml:space="preserve"> </w:t>
      </w:r>
      <w:r>
        <w:rPr>
          <w:rStyle w:val="VerbatimChar"/>
        </w:rPr>
        <w:t xml:space="preserve">04-How-This-Article-Was-Written</w:t>
      </w:r>
      <w:r>
        <w:t xml:space="preserve"> </w:t>
      </w:r>
      <w:r>
        <w:t xml:space="preserve">in the submission packet; the article-writing-loop figures are not reproduced in Section IX because the case study the article describes is the vault, not the article, and conflating the two costs would mislead the reader about which deliverable the cost record describes).</w:t>
      </w:r>
    </w:p>
  </w:footnote>
  <w:footnote w:id="180">
    <w:p>
      <w:pPr>
        <w:pStyle w:val="FootnoteText"/>
      </w:pPr>
      <w:r>
        <w:rPr>
          <w:rStyle w:val="FootnoteReference"/>
        </w:rPr>
        <w:footnoteRef/>
      </w:r>
      <w:r>
        <w:t xml:space="preserve"> </w:t>
      </w:r>
      <w:r>
        <w:rPr>
          <w:i/>
          <w:iCs/>
        </w:rPr>
        <w:t xml:space="preserve">See infra</w:t>
      </w:r>
      <w:r>
        <w:t xml:space="preserve"> </w:t>
      </w:r>
      <w:r>
        <w:t xml:space="preserve">App. E (Cost and Time Log) § E.3 (Vault-Construction Cost), recording that the vault scheduled task’s run-scores log carries per-run fields for run_count, phase, weighted score, and (sparsely) wall-clock;</w:t>
      </w:r>
      <w:r>
        <w:t xml:space="preserve"> </w:t>
      </w:r>
      <w:r>
        <w:rPr>
          <w:i/>
          <w:iCs/>
        </w:rPr>
        <w:t xml:space="preserve">see also infra</w:t>
      </w:r>
      <w:r>
        <w:t xml:space="preserve"> </w:t>
      </w:r>
      <w:r>
        <w:t xml:space="preserve">Table 9.1 (in-section per-phase aggregate across the snapshot window of April 16 to May 8, 2026).</w:t>
      </w:r>
    </w:p>
  </w:footnote>
  <w:footnote w:id="182">
    <w:p>
      <w:pPr>
        <w:pStyle w:val="FootnoteText"/>
      </w:pPr>
      <w:r>
        <w:rPr>
          <w:rStyle w:val="FootnoteReference"/>
        </w:rPr>
        <w:footnoteRef/>
      </w:r>
      <w:r>
        <w:t xml:space="preserve"> </w:t>
      </w:r>
      <w:r>
        <w:rPr>
          <w:i/>
          <w:iCs/>
        </w:rPr>
        <w:t xml:space="preserve">See infra</w:t>
      </w:r>
      <w:r>
        <w:t xml:space="preserve"> </w:t>
      </w:r>
      <w:r>
        <w:t xml:space="preserve">App. F (Technical Setup) (DEPLOY.md Step 2 designating the Netlify CLI direct-upload path as canonical specifically because it does not consume Netlify build minutes and uses the local PAT so deploys are reproducible from the scheduled task without proxy-token TTL pressure; DEPLOY.md fallback-path entry demoting the Netlify MCP</w:t>
      </w:r>
      <w:r>
        <w:t xml:space="preserve"> </w:t>
      </w:r>
      <w:r>
        <w:rPr>
          <w:rStyle w:val="VerbatimChar"/>
        </w:rPr>
        <w:t xml:space="preserve">netlify-deploy-services-updater</w:t>
      </w:r>
      <w:r>
        <w:t xml:space="preserve"> </w:t>
      </w:r>
      <w:r>
        <w:t xml:space="preserve">call with</w:t>
      </w:r>
      <w:r>
        <w:t xml:space="preserve"> </w:t>
      </w:r>
      <w:r>
        <w:rPr>
          <w:rStyle w:val="VerbatimChar"/>
        </w:rPr>
        <w:t xml:space="preserve">operation: deploy-site</w:t>
      </w:r>
      <w:r>
        <w:t xml:space="preserve"> </w:t>
      </w:r>
      <w:r>
        <w:t xml:space="preserve">and</w:t>
      </w:r>
      <w:r>
        <w:t xml:space="preserve"> </w:t>
      </w:r>
      <w:r>
        <w:rPr>
          <w:rStyle w:val="VerbatimChar"/>
        </w:rPr>
        <w:t xml:space="preserve">siteId: f78a098b-9a9e-412a-8d4f-dd8ccda13bfe</w:t>
      </w:r>
      <w:r>
        <w:t xml:space="preserve"> </w:t>
      </w:r>
      <w:r>
        <w:t xml:space="preserve">because it consumes Netlify build minutes);</w:t>
      </w:r>
      <w:r>
        <w:t xml:space="preserve"> </w:t>
      </w:r>
      <w:r>
        <w:rPr>
          <w:i/>
          <w:iCs/>
        </w:rPr>
        <w:t xml:space="preserve">see also supra</w:t>
      </w:r>
      <w:r>
        <w:t xml:space="preserve"> </w:t>
      </w:r>
      <w:r>
        <w:t xml:space="preserve">Section VIII (From Vault to Website) note 78 (cross-reference to the same DEPLOY.md Step 2 cited in Section VIII’s build-pipeline framing of the deploy path).</w:t>
      </w:r>
    </w:p>
  </w:footnote>
  <w:footnote w:id="183">
    <w:p>
      <w:pPr>
        <w:pStyle w:val="FootnoteText"/>
      </w:pPr>
      <w:r>
        <w:rPr>
          <w:rStyle w:val="FootnoteReference"/>
        </w:rPr>
        <w:footnoteRef/>
      </w:r>
      <w:r>
        <w:t xml:space="preserve"> </w:t>
      </w:r>
      <w:r>
        <w:rPr>
          <w:i/>
          <w:iCs/>
        </w:rPr>
        <w:t xml:space="preserve">See infra</w:t>
      </w:r>
      <w:r>
        <w:t xml:space="preserve"> </w:t>
      </w:r>
      <w:r>
        <w:t xml:space="preserve">App. F (Technical Setup) (vault deployment-lessons record naming the HTTP 403 “Account credit usage exceeded” pattern as an external block rather than a code defect, recording that build still succeeds and upload aborts before any deploy record is created, and specifying the RUNBOOK guard fires after</w:t>
      </w:r>
      <w:r>
        <w:t xml:space="preserve"> </w:t>
      </w:r>
      <w:r>
        <w:rPr>
          <w:rStyle w:val="VerbatimChar"/>
        </w:rPr>
        <w:t xml:space="preserve">consecutive_same_type_failures&gt;=3</w:t>
      </w:r>
      <w:r>
        <w:t xml:space="preserve"> </w:t>
      </w:r>
      <w:r>
        <w:t xml:space="preserve">and</w:t>
      </w:r>
      <w:r>
        <w:t xml:space="preserve"> </w:t>
      </w:r>
      <w:r>
        <w:rPr>
          <w:rStyle w:val="VerbatimChar"/>
        </w:rPr>
        <w:t xml:space="preserve">type=deploy-credit-blocked</w:t>
      </w:r>
      <w:r>
        <w:t xml:space="preserve"> </w:t>
      </w:r>
      <w:r>
        <w:t xml:space="preserve">to skip the fast-deploy POST until credits are restored; same record logging 2026-05-07T18:41Z, T19:11Z, and T19:42Z as the three sequential credit-block events that tripped the three-strike guard against a 281-page corpus build of 131 cases, 53 topics, and 97 lectures).</w:t>
      </w:r>
    </w:p>
  </w:footnote>
  <w:footnote w:id="185">
    <w:p>
      <w:pPr>
        <w:pStyle w:val="FootnoteText"/>
      </w:pPr>
      <w:r>
        <w:rPr>
          <w:rStyle w:val="FootnoteReference"/>
        </w:rPr>
        <w:footnoteRef/>
      </w:r>
      <w:r>
        <w:t xml:space="preserve"> </w:t>
      </w:r>
      <w:r>
        <w:rPr>
          <w:i/>
          <w:iCs/>
        </w:rPr>
        <w:t xml:space="preserve">See infra</w:t>
      </w:r>
      <w:r>
        <w:t xml:space="preserve"> </w:t>
      </w:r>
      <w:r>
        <w:t xml:space="preserve">App. E (Cost and Time Log) § E.3 (vault-construction tick total of 255 across the eight phases listed in the body, derived from the vault scheduled task’s run-scores log filtered to the snapshot window of April 16 to May 8, 2026, with per-phase sums verified at the cell level: ingest 35, enrich 24, expand 29, synthesize 30, lint 34, verify 34, consolidate 10, deploy 59);</w:t>
      </w:r>
      <w:r>
        <w:t xml:space="preserve"> </w:t>
      </w:r>
      <w:r>
        <w:rPr>
          <w:i/>
          <w:iCs/>
        </w:rPr>
        <w:t xml:space="preserve">see also infra</w:t>
      </w:r>
      <w:r>
        <w:t xml:space="preserve"> </w:t>
      </w:r>
      <w:r>
        <w:t xml:space="preserve">Table 9.1 (in-section per-phase aggregate of the same figures).</w:t>
      </w:r>
    </w:p>
  </w:footnote>
  <w:footnote w:id="186">
    <w:p>
      <w:pPr>
        <w:pStyle w:val="FootnoteText"/>
      </w:pPr>
      <w:r>
        <w:rPr>
          <w:rStyle w:val="FootnoteReference"/>
        </w:rPr>
        <w:footnoteRef/>
      </w:r>
      <w:r>
        <w:t xml:space="preserve"> </w:t>
      </w:r>
      <w:r>
        <w:rPr>
          <w:i/>
          <w:iCs/>
        </w:rPr>
        <w:t xml:space="preserve">See supra</w:t>
      </w:r>
      <w:r>
        <w:t xml:space="preserve"> </w:t>
      </w:r>
      <w:r>
        <w:t xml:space="preserve">Section IV (The Input Corpus) note 33 (198-page snapshot of 92 case briefs, 27 doctrinal topic pages, and 79 lecture summaries as the end-of-window deliverable, used as Section IV’s input-corpus anchor under the article’s snapshot-and-drift convention);</w:t>
      </w:r>
      <w:r>
        <w:t xml:space="preserve"> </w:t>
      </w:r>
      <w:r>
        <w:rPr>
          <w:i/>
          <w:iCs/>
        </w:rPr>
        <w:t xml:space="preserve">see also infra</w:t>
      </w:r>
      <w:r>
        <w:t xml:space="preserve"> </w:t>
      </w:r>
      <w:r>
        <w:t xml:space="preserve">App. A (Input Inventory), Vault Output Snapshot subsection (same figures with the page-count breakdown and the approximately ninety-two-percent doctrinal-coverage estimate).</w:t>
      </w:r>
    </w:p>
  </w:footnote>
  <w:footnote w:id="187">
    <w:p>
      <w:pPr>
        <w:pStyle w:val="FootnoteText"/>
      </w:pPr>
      <w:r>
        <w:rPr>
          <w:rStyle w:val="FootnoteReference"/>
        </w:rPr>
        <w:footnoteRef/>
      </w:r>
      <w:r>
        <w:t xml:space="preserve"> </w:t>
      </w:r>
      <w:r>
        <w:rPr>
          <w:i/>
          <w:iCs/>
        </w:rPr>
        <w:t xml:space="preserve">See infra</w:t>
      </w:r>
      <w:r>
        <w:t xml:space="preserve"> </w:t>
      </w:r>
      <w:r>
        <w:t xml:space="preserve">App. E (Cost and Time Log) § E.5 (Honest Caveats), recording that only six of the 255 vault runs logged a wall-clock field and that none logged token counts or a price, so no dollar figure for model usage and no compute-hours figure can be derived from the run record;</w:t>
      </w:r>
      <w:r>
        <w:t xml:space="preserve"> </w:t>
      </w:r>
      <w:r>
        <w:rPr>
          <w:i/>
          <w:iCs/>
        </w:rPr>
        <w:t xml:space="preserve">see also infra</w:t>
      </w:r>
      <w:r>
        <w:t xml:space="preserve"> </w:t>
      </w:r>
      <w:r>
        <w:t xml:space="preserve">Table 9.1. The omission is recorded as a structural property of the logging system rather than as a defect to be repaired by retroactive reconstruction.</w:t>
      </w:r>
    </w:p>
  </w:footnote>
  <w:footnote w:id="189">
    <w:p>
      <w:pPr>
        <w:pStyle w:val="FootnoteText"/>
      </w:pPr>
      <w:r>
        <w:rPr>
          <w:rStyle w:val="FootnoteReference"/>
        </w:rPr>
        <w:footnoteRef/>
      </w:r>
      <w:r>
        <w:t xml:space="preserve"> </w:t>
      </w:r>
      <w:r>
        <w:rPr>
          <w:i/>
          <w:iCs/>
        </w:rPr>
        <w:t xml:space="preserve">See infra</w:t>
      </w:r>
      <w:r>
        <w:t xml:space="preserve"> </w:t>
      </w:r>
      <w:r>
        <w:t xml:space="preserve">App. D (Karpathy-Loop Per-Phase Rubric) (dispatcher protocol enumerating per-run loads as Tier 1 covering the state file, the rubric for the current phase, and the lessons file, with Tier 2 covering the current phase’s rubric, the lessons file, the current month’s build narrative, and the personas file only for the adversarial review pass, and naming the explicit prohibition against reading other rubrics or archived narratives; same source recording the cross-rubric-reading prohibition that each run loads only its own phase rubric because cross-rubric reading creates conflicting incentives, with the same dispatcher-protocol architecture mirrored in the article-writing scheduled task per its own runbook and tiered-loading guidance);</w:t>
      </w:r>
      <w:r>
        <w:t xml:space="preserve"> </w:t>
      </w:r>
      <w:r>
        <w:rPr>
          <w:i/>
          <w:iCs/>
        </w:rPr>
        <w:t xml:space="preserve">see also supra</w:t>
      </w:r>
      <w:r>
        <w:t xml:space="preserve"> </w:t>
      </w:r>
      <w:r>
        <w:t xml:space="preserve">Section VI (Prompting as Pedagogical Design) note 63 (cross-reference to the prompt-design framing of the same tiered-loading architecture as the lessons-as-prompt-iteration-memory contract).</w:t>
      </w:r>
    </w:p>
  </w:footnote>
  <w:footnote w:id="190">
    <w:p>
      <w:pPr>
        <w:pStyle w:val="FootnoteText"/>
      </w:pPr>
      <w:r>
        <w:rPr>
          <w:rStyle w:val="FootnoteReference"/>
        </w:rPr>
        <w:footnoteRef/>
      </w:r>
      <w:r>
        <w:t xml:space="preserve"> </w:t>
      </w:r>
      <w:r>
        <w:rPr>
          <w:i/>
          <w:iCs/>
        </w:rPr>
        <w:t xml:space="preserve">See infra</w:t>
      </w:r>
      <w:r>
        <w:t xml:space="preserve"> </w:t>
      </w:r>
      <w:r>
        <w:t xml:space="preserve">App. E (Cost and Time Log) § E.5 (recording that the per-tick token-economy mechanism at note [^126]</w:t>
      </w:r>
      <w:r>
        <w:t xml:space="preserve"> </w:t>
      </w:r>
      <w:r>
        <w:rPr>
          <w:i/>
          <w:iCs/>
        </w:rPr>
        <w:t xml:space="preserve">supra</w:t>
      </w:r>
      <w:r>
        <w:t xml:space="preserve"> </w:t>
      </w:r>
      <w:r>
        <w:t xml:space="preserve">makes one tick of one phase a predictable unit of loading work, but does not become a token bill without per-tick token instrumentation that neither scheduled task carries; the omission is recorded as a structural property of the logging system rather than as a defect to be repaired).</w:t>
      </w:r>
    </w:p>
  </w:footnote>
  <w:footnote w:id="192">
    <w:p>
      <w:pPr>
        <w:pStyle w:val="FootnoteText"/>
      </w:pPr>
      <w:r>
        <w:rPr>
          <w:rStyle w:val="FootnoteReference"/>
        </w:rPr>
        <w:footnoteRef/>
      </w:r>
      <w:r>
        <w:t xml:space="preserve"> </w:t>
      </w:r>
      <w:r>
        <w:rPr>
          <w:i/>
          <w:iCs/>
        </w:rPr>
        <w:t xml:space="preserve">See supra</w:t>
      </w:r>
      <w:r>
        <w:t xml:space="preserve"> </w:t>
      </w:r>
      <w:r>
        <w:t xml:space="preserve">note [^118] (enumerating ingest, prompt tuning, review, and debugging as the four labor-category columns the cost-and-labor table must carry). The body-prose mapping from the four labor categories to the vault’s own eight-phase rotation (ingest to vault Ingest; prompt tuning to per-tick rubric-and-lessons work plus the synthesize and consolidate phases; review to per-tick scorecard reads plus the periodic lessons-consolidation sweep plus the vault’s verify phase; debugging to per-tick pending-issue resolution plus the multi-tick pending-issue lifecycle) is this article’s own contribution; the four-column structure comes from the source at note [^118] and this section maps it to the loop architecture Sections III through VIII develop.</w:t>
      </w:r>
    </w:p>
  </w:footnote>
  <w:footnote w:id="193">
    <w:p>
      <w:pPr>
        <w:pStyle w:val="FootnoteText"/>
      </w:pPr>
      <w:r>
        <w:rPr>
          <w:rStyle w:val="FootnoteReference"/>
        </w:rPr>
        <w:footnoteRef/>
      </w:r>
      <w:r>
        <w:t xml:space="preserve"> </w:t>
      </w:r>
      <w:r>
        <w:rPr>
          <w:i/>
          <w:iCs/>
        </w:rPr>
        <w:t xml:space="preserve">See supra</w:t>
      </w:r>
      <w:r>
        <w:t xml:space="preserve"> </w:t>
      </w:r>
      <w:r>
        <w:t xml:space="preserve">note [^122] (recording the three sequential credit-block events on May 7, 2026 that tripped the dispatcher’s three-strike guard);</w:t>
      </w:r>
      <w:r>
        <w:t xml:space="preserve"> </w:t>
      </w:r>
      <w:r>
        <w:rPr>
          <w:i/>
          <w:iCs/>
        </w:rPr>
        <w:t xml:space="preserve">see also infra</w:t>
      </w:r>
      <w:r>
        <w:t xml:space="preserve"> </w:t>
      </w:r>
      <w:r>
        <w:t xml:space="preserve">App. E (Cost and Time Log) § E.3 (recording that of fifty-nine deploy ticks in the snapshot window, a substantial fraction were absorbed by the credit-block pattern, a real cost the run log records and an email estimate would have hidden).</w:t>
      </w:r>
    </w:p>
  </w:footnote>
  <w:footnote w:id="194">
    <w:p>
      <w:pPr>
        <w:pStyle w:val="FootnoteText"/>
      </w:pPr>
      <w:r>
        <w:rPr>
          <w:rStyle w:val="FootnoteReference"/>
        </w:rPr>
        <w:footnoteRef/>
      </w:r>
      <w:r>
        <w:t xml:space="preserve"> </w:t>
      </w:r>
      <w:r>
        <w:rPr>
          <w:i/>
          <w:iCs/>
        </w:rPr>
        <w:t xml:space="preserve">See supra</w:t>
      </w:r>
      <w:r>
        <w:t xml:space="preserve"> </w:t>
      </w:r>
      <w:r>
        <w:t xml:space="preserve">Section IV (The Input Corpus) note 22 (Section IV ingest-line forward reference closing through this section’s master table);</w:t>
      </w:r>
      <w:r>
        <w:t xml:space="preserve"> </w:t>
      </w:r>
      <w:r>
        <w:rPr>
          <w:i/>
          <w:iCs/>
        </w:rPr>
        <w:t xml:space="preserve">see also supra</w:t>
      </w:r>
      <w:r>
        <w:t xml:space="preserve"> </w:t>
      </w:r>
      <w:r>
        <w:t xml:space="preserve">Section VII (Iterative Improvement Under Professorial Control) note 68 (Section VII iteration-line forward reference closing through this section’s master table);</w:t>
      </w:r>
      <w:r>
        <w:t xml:space="preserve"> </w:t>
      </w:r>
      <w:r>
        <w:rPr>
          <w:i/>
          <w:iCs/>
        </w:rPr>
        <w:t xml:space="preserve">see also supra</w:t>
      </w:r>
      <w:r>
        <w:t xml:space="preserve"> </w:t>
      </w:r>
      <w:r>
        <w:t xml:space="preserve">Section VIII (From Vault to Website) note 82 (Section VIII deploy-line forward reference closing through this section’s master table). The three forward references flow under the article’s single-owner-section routing convention, which assigns one owning section to any cost or throughput figure that more than one section touches.</w:t>
      </w:r>
    </w:p>
  </w:footnote>
  <w:footnote w:id="195">
    <w:p>
      <w:pPr>
        <w:pStyle w:val="FootnoteText"/>
      </w:pPr>
      <w:r>
        <w:rPr>
          <w:rStyle w:val="FootnoteReference"/>
        </w:rPr>
        <w:footnoteRef/>
      </w:r>
      <w:r>
        <w:t xml:space="preserve"> </w:t>
      </w:r>
      <w:r>
        <w:rPr>
          <w:i/>
          <w:iCs/>
        </w:rPr>
        <w:t xml:space="preserve">See infra</w:t>
      </w:r>
      <w:r>
        <w:t xml:space="preserve"> </w:t>
      </w:r>
      <w:r>
        <w:t xml:space="preserve">App. E (Cost and Time Log) § E.5 (the vault scheduled task logs only its own runs, so professorial review time and the offline rubric-and-lessons-tuning work the author performs between ticks are not loggable, and a person-hours backfill across the four labor categories is therefore not deliverable from the system’s own records). The honest move is to name the structural limit rather than fabricate a range from sources that do not exist.</w:t>
      </w:r>
    </w:p>
  </w:footnote>
  <w:footnote w:id="198">
    <w:p>
      <w:pPr>
        <w:pStyle w:val="FootnoteText"/>
      </w:pPr>
      <w:r>
        <w:rPr>
          <w:rStyle w:val="FootnoteReference"/>
        </w:rPr>
        <w:footnoteRef/>
      </w:r>
      <w:r>
        <w:t xml:space="preserve"> </w:t>
      </w:r>
      <w:r>
        <w:rPr>
          <w:i/>
          <w:iCs/>
        </w:rPr>
        <w:t xml:space="preserve">See supra</w:t>
      </w:r>
      <w:r>
        <w:t xml:space="preserve"> </w:t>
      </w:r>
      <w:r>
        <w:t xml:space="preserve">Section I (Introduction: The Hidden Archive of the Law Professor) (stating the article’s thesis as a method claim: that generative AI working on structured source materials, Obsidian-style markdown notes, build-time linking to verified legal sources, and iterative expert review can convert a professor’s dispersed course archive into a navigable course knowledge system, with the constitutional-law case study as the demonstration and the method as the transferable contribution).</w:t>
      </w:r>
    </w:p>
  </w:footnote>
  <w:footnote w:id="199">
    <w:p>
      <w:pPr>
        <w:pStyle w:val="FootnoteText"/>
      </w:pPr>
      <w:r>
        <w:rPr>
          <w:rStyle w:val="FootnoteReference"/>
        </w:rPr>
        <w:footnoteRef/>
      </w:r>
      <w:r>
        <w:t xml:space="preserve"> </w:t>
      </w:r>
      <w:r>
        <w:rPr>
          <w:i/>
          <w:iCs/>
        </w:rPr>
        <w:t xml:space="preserve">See supra</w:t>
      </w:r>
      <w:r>
        <w:t xml:space="preserve"> </w:t>
      </w:r>
      <w:r>
        <w:t xml:space="preserve">Section IV (The Input Corpus) (bounding the case study to a single course, Constitutional Law I (Spring 2026) taught by Professor Chandler, and to the structural constitution rather than the full year of constitutional law).</w:t>
      </w:r>
    </w:p>
  </w:footnote>
  <w:footnote w:id="200">
    <w:p>
      <w:pPr>
        <w:pStyle w:val="FootnoteText"/>
      </w:pPr>
      <w:r>
        <w:rPr>
          <w:rStyle w:val="FootnoteReference"/>
        </w:rPr>
        <w:footnoteRef/>
      </w:r>
      <w:r>
        <w:t xml:space="preserve"> </w:t>
      </w:r>
      <w:r>
        <w:t xml:space="preserve">William M. Sullivan et al.,</w:t>
      </w:r>
      <w:r>
        <w:t xml:space="preserve"> </w:t>
      </w:r>
      <w:r>
        <w:rPr>
          <w:i/>
          <w:iCs/>
        </w:rPr>
        <w:t xml:space="preserve">Educating Lawyers</w:t>
      </w:r>
      <w:r>
        <w:t xml:space="preserve">: Summary at 10-11 (2007) (Recommendations 1-2: integrated curriculum and method reform), https://archive.carnegiefoundation.org/publications/pdfs/elibrary/elibrary_pdf_632.pdf; Roy Stuckey et al.,</w:t>
      </w:r>
      <w:r>
        <w:t xml:space="preserve"> </w:t>
      </w:r>
      <w:r>
        <w:rPr>
          <w:i/>
          <w:iCs/>
        </w:rPr>
        <w:t xml:space="preserve">Best Practices for Legal Education</w:t>
      </w:r>
      <w:r>
        <w:t xml:space="preserve"> </w:t>
      </w:r>
      <w:r>
        <w:t xml:space="preserve">39-44 (CLEA 2007), https://encle.org/upload/files/teaching-materials/best_practices-full.pdf;</w:t>
      </w:r>
      <w:r>
        <w:t xml:space="preserve"> </w:t>
      </w:r>
      <w:r>
        <w:rPr>
          <w:i/>
          <w:iCs/>
        </w:rPr>
        <w:t xml:space="preserve">Building on Best Practices</w:t>
      </w:r>
      <w:r>
        <w:t xml:space="preserve"> </w:t>
      </w:r>
      <w:r>
        <w:t xml:space="preserve">[confirm-at-proof: chapter] (Deborah Maranville et al. eds., LexisNexis 2015), https://readingroom.law.gsu.edu/faculty_pub/2074/ (all last visited May 29, 2026). Reform canon on teaching method as the transferable unit.</w:t>
      </w:r>
    </w:p>
  </w:footnote>
  <w:footnote w:id="202">
    <w:p>
      <w:pPr>
        <w:pStyle w:val="FootnoteText"/>
      </w:pPr>
      <w:r>
        <w:rPr>
          <w:rStyle w:val="FootnoteReference"/>
        </w:rPr>
        <w:footnoteRef/>
      </w:r>
      <w:r>
        <w:t xml:space="preserve"> </w:t>
      </w:r>
      <w:r>
        <w:rPr>
          <w:i/>
          <w:iCs/>
        </w:rPr>
        <w:t xml:space="preserve">See supra</w:t>
      </w:r>
      <w:r>
        <w:t xml:space="preserve"> </w:t>
      </w:r>
      <w:r>
        <w:t xml:space="preserve">Section V (Building the Obsidian Vault) (describing the three first-class content folders, one for a decided case, one for a doctrine, and one for a class session, each backed by a canonical template and a typed frontmatter schema).</w:t>
      </w:r>
    </w:p>
  </w:footnote>
  <w:footnote w:id="203">
    <w:p>
      <w:pPr>
        <w:pStyle w:val="FootnoteText"/>
      </w:pPr>
      <w:r>
        <w:rPr>
          <w:rStyle w:val="FootnoteReference"/>
        </w:rPr>
        <w:footnoteRef/>
      </w:r>
      <w:r>
        <w:t xml:space="preserve"> </w:t>
      </w:r>
      <w:r>
        <w:rPr>
          <w:i/>
          <w:iCs/>
        </w:rPr>
        <w:t xml:space="preserve">See supra</w:t>
      </w:r>
      <w:r>
        <w:t xml:space="preserve"> </w:t>
      </w:r>
      <w:r>
        <w:t xml:space="preserve">Section V (Building the Obsidian Vault) (describing the Case Brief template’s fixed section sequence as the standard law-school brief form rather than a constitutional-law artifact).</w:t>
      </w:r>
    </w:p>
  </w:footnote>
  <w:footnote w:id="204">
    <w:p>
      <w:pPr>
        <w:pStyle w:val="FootnoteText"/>
      </w:pPr>
      <w:r>
        <w:rPr>
          <w:rStyle w:val="FootnoteReference"/>
        </w:rPr>
        <w:footnoteRef/>
      </w:r>
      <w:r>
        <w:t xml:space="preserve"> </w:t>
      </w:r>
      <w:r>
        <w:t xml:space="preserve">Elizabeth Mertz,</w:t>
      </w:r>
      <w:r>
        <w:t xml:space="preserve"> </w:t>
      </w:r>
      <w:r>
        <w:rPr>
          <w:i/>
          <w:iCs/>
        </w:rPr>
        <w:t xml:space="preserve">The Language of Law School: Learning to “Think Like a Lawyer”</w:t>
      </w:r>
      <w:r>
        <w:t xml:space="preserve"> </w:t>
      </w:r>
      <w:r>
        <w:t xml:space="preserve">(Oxford Univ. Press 2007), https://global.oup.com/academic/product/the-language-of-law-school-9780195183108 (last visited May 29, 2026) (tape-recorded ethnography of first-year Contracts classrooms across eight U.S. law schools documenting the case-method form as the through-line of 1L doctrinal instruction, and supporting the X.B claim that the standard Facts, Holding, and Analysis brief shape is the case-method curriculum’s product rather than a constitutional-law artifact). Used at X.B for the case-method generalization site only;</w:t>
      </w:r>
      <w:r>
        <w:t xml:space="preserve"> </w:t>
      </w:r>
      <w:r>
        <w:rPr>
          <w:i/>
          <w:iCs/>
        </w:rPr>
        <w:t xml:space="preserve">see supra</w:t>
      </w:r>
      <w:r>
        <w:t xml:space="preserve"> </w:t>
      </w:r>
      <w:r>
        <w:t xml:space="preserve">Section II note 14 for the parallel performed-component-of-teaching anchor in this assembly.</w:t>
      </w:r>
    </w:p>
  </w:footnote>
  <w:footnote w:id="205">
    <w:p>
      <w:pPr>
        <w:pStyle w:val="FootnoteText"/>
      </w:pPr>
      <w:r>
        <w:rPr>
          <w:rStyle w:val="FootnoteReference"/>
        </w:rPr>
        <w:footnoteRef/>
      </w:r>
      <w:r>
        <w:t xml:space="preserve"> </w:t>
      </w:r>
      <w:r>
        <w:rPr>
          <w:i/>
          <w:iCs/>
        </w:rPr>
        <w:t xml:space="preserve">See supra</w:t>
      </w:r>
      <w:r>
        <w:t xml:space="preserve"> </w:t>
      </w:r>
      <w:r>
        <w:t xml:space="preserve">Section V (Building the Obsidian Vault) (describing the YAML frontmatter schema that makes each page machine-readable, the field set rather than the field values being the course-agnostic part).</w:t>
      </w:r>
    </w:p>
  </w:footnote>
  <w:footnote w:id="206">
    <w:p>
      <w:pPr>
        <w:pStyle w:val="FootnoteText"/>
      </w:pPr>
      <w:r>
        <w:rPr>
          <w:rStyle w:val="FootnoteReference"/>
        </w:rPr>
        <w:footnoteRef/>
      </w:r>
      <w:r>
        <w:t xml:space="preserve"> </w:t>
      </w:r>
      <w:r>
        <w:rPr>
          <w:i/>
          <w:iCs/>
        </w:rPr>
        <w:t xml:space="preserve">See supra</w:t>
      </w:r>
      <w:r>
        <w:t xml:space="preserve"> </w:t>
      </w:r>
      <w:r>
        <w:t xml:space="preserve">Section V (Building the Obsidian Vault) (describing the doctrine_family field locked to four constitutional-law values, Federalism, Separation of Powers, Individual Rights, and Justiciability, where the field is structural and its values particular to the course).</w:t>
      </w:r>
    </w:p>
  </w:footnote>
  <w:footnote w:id="207">
    <w:p>
      <w:pPr>
        <w:pStyle w:val="FootnoteText"/>
      </w:pPr>
      <w:r>
        <w:rPr>
          <w:rStyle w:val="FootnoteReference"/>
        </w:rPr>
        <w:footnoteRef/>
      </w:r>
      <w:r>
        <w:t xml:space="preserve"> </w:t>
      </w:r>
      <w:r>
        <w:rPr>
          <w:i/>
          <w:iCs/>
        </w:rPr>
        <w:t xml:space="preserve">See supra</w:t>
      </w:r>
      <w:r>
        <w:t xml:space="preserve"> </w:t>
      </w:r>
      <w:r>
        <w:t xml:space="preserve">Section V (Building the Obsidian Vault) (describing the Topic page as the synthesis form that gathers every case brief and lecture summary touching a single doctrine into one governing-rule-and-development narrative).</w:t>
      </w:r>
    </w:p>
  </w:footnote>
  <w:footnote w:id="209">
    <w:p>
      <w:pPr>
        <w:pStyle w:val="FootnoteText"/>
      </w:pPr>
      <w:r>
        <w:rPr>
          <w:rStyle w:val="FootnoteReference"/>
        </w:rPr>
        <w:footnoteRef/>
      </w:r>
      <w:r>
        <w:t xml:space="preserve"> </w:t>
      </w:r>
      <w:r>
        <w:rPr>
          <w:i/>
          <w:iCs/>
        </w:rPr>
        <w:t xml:space="preserve">See supra</w:t>
      </w:r>
      <w:r>
        <w:t xml:space="preserve"> </w:t>
      </w:r>
      <w:r>
        <w:t xml:space="preserve">Section VII (Iterative Improvement Under Professorial Control) (describing the phase rotation, the lessons file that carries memory between runs, the adversarial review pass required to return a finding, and the professorial checkpoints as features of the method rather than of the subject matter).</w:t>
      </w:r>
    </w:p>
  </w:footnote>
  <w:footnote w:id="210">
    <w:p>
      <w:pPr>
        <w:pStyle w:val="FootnoteText"/>
      </w:pPr>
      <w:r>
        <w:rPr>
          <w:rStyle w:val="FootnoteReference"/>
        </w:rPr>
        <w:footnoteRef/>
      </w:r>
      <w:r>
        <w:t xml:space="preserve"> </w:t>
      </w:r>
      <w:r>
        <w:rPr>
          <w:i/>
          <w:iCs/>
        </w:rPr>
        <w:t xml:space="preserve">See supra</w:t>
      </w:r>
      <w:r>
        <w:t xml:space="preserve"> </w:t>
      </w:r>
      <w:r>
        <w:t xml:space="preserve">Section III (Case Study: A Constitutional-Law Knowledge System) (describing the discipline under which every key quotation links to the cited line of the indexed judicial opinion, so a reader can trace each pull-quote to the source that controls it).</w:t>
      </w:r>
    </w:p>
  </w:footnote>
  <w:footnote w:id="211">
    <w:p>
      <w:pPr>
        <w:pStyle w:val="FootnoteText"/>
      </w:pPr>
      <w:r>
        <w:rPr>
          <w:rStyle w:val="FootnoteReference"/>
        </w:rPr>
        <w:footnoteRef/>
      </w:r>
      <w:r>
        <w:t xml:space="preserve"> </w:t>
      </w:r>
      <w:r>
        <w:rPr>
          <w:i/>
          <w:iCs/>
        </w:rPr>
        <w:t xml:space="preserve">See supra</w:t>
      </w:r>
      <w:r>
        <w:t xml:space="preserve"> </w:t>
      </w:r>
      <w:r>
        <w:t xml:space="preserve">Section VII (Iterative Improvement Under Professorial Control) (describing the page-feedback intake and the per-phase checkpoints under which the professor is the designed gating actor, positioned to review and approve each layer before it reaches a student and able to return any page for another pass);</w:t>
      </w:r>
      <w:r>
        <w:t xml:space="preserve"> </w:t>
      </w:r>
      <w:r>
        <w:rPr>
          <w:i/>
          <w:iCs/>
        </w:rPr>
        <w:t xml:space="preserve">see also supra</w:t>
      </w:r>
      <w:r>
        <w:t xml:space="preserve"> </w:t>
      </w:r>
      <w:r>
        <w:t xml:space="preserve">Section VIII (From Vault to Website) (May 2026 snapshot pages published as review-ready rather than as individually professor-approved, the author’s understanding subject to Professor Chandler’s confirmation).</w:t>
      </w:r>
    </w:p>
  </w:footnote>
  <w:footnote w:id="212">
    <w:p>
      <w:pPr>
        <w:pStyle w:val="FootnoteText"/>
      </w:pPr>
      <w:r>
        <w:rPr>
          <w:rStyle w:val="FootnoteReference"/>
        </w:rPr>
        <w:footnoteRef/>
      </w:r>
      <w:r>
        <w:t xml:space="preserve"> </w:t>
      </w:r>
      <w:r>
        <w:t xml:space="preserve">Ramteja Sajja, Yusuf Sermet, David M. Cwiertny &amp; Ibrahim Demir,</w:t>
      </w:r>
      <w:r>
        <w:t xml:space="preserve"> </w:t>
      </w:r>
      <w:r>
        <w:rPr>
          <w:i/>
          <w:iCs/>
        </w:rPr>
        <w:t xml:space="preserve">Platform-Independent and Curriculum-Oriented Intelligent Assistant for Higher Education</w:t>
      </w:r>
      <w:r>
        <w:t xml:space="preserve">, 20 Int’l J. Educ. Tech. Higher Educ., Art. 42 (2023), https://link.springer.com/article/10.1186/s41239-023-00412-7 (last visited May 29, 2026) (presenting a large-language-model-backed curriculum-oriented virtual teaching assistant deployable to any course as a conversational helper; cited here at X.C as the chatbot-tutor architectural alternative the static-website choice forgoes). Per L-024, the X.C body prose carries the transfer-of-inference clause naming what generalizes from this intervention setting (the curriculum-grounding insight) and what does not (the conversational runtime surface); the same source supports the user-experience contrast at</w:t>
      </w:r>
      <w:r>
        <w:t xml:space="preserve"> </w:t>
      </w:r>
      <w:r>
        <w:rPr>
          <w:i/>
          <w:iCs/>
        </w:rPr>
        <w:t xml:space="preserve">supra</w:t>
      </w:r>
      <w:r>
        <w:t xml:space="preserve"> </w:t>
      </w:r>
      <w:r>
        <w:t xml:space="preserve">Section III note 39 and the build-time-versus-runtime architectural contrast at</w:t>
      </w:r>
      <w:r>
        <w:t xml:space="preserve"> </w:t>
      </w:r>
      <w:r>
        <w:rPr>
          <w:i/>
          <w:iCs/>
        </w:rPr>
        <w:t xml:space="preserve">supra</w:t>
      </w:r>
      <w:r>
        <w:t xml:space="preserve"> </w:t>
      </w:r>
      <w:r>
        <w:t xml:space="preserve">Section VIII note 117 in this assembly.</w:t>
      </w:r>
    </w:p>
  </w:footnote>
  <w:footnote w:id="213">
    <w:p>
      <w:pPr>
        <w:pStyle w:val="FootnoteText"/>
      </w:pPr>
      <w:r>
        <w:rPr>
          <w:rStyle w:val="FootnoteReference"/>
        </w:rPr>
        <w:footnoteRef/>
      </w:r>
      <w:r>
        <w:t xml:space="preserve"> </w:t>
      </w:r>
      <w:r>
        <w:rPr>
          <w:i/>
          <w:iCs/>
        </w:rPr>
        <w:t xml:space="preserve">See infra</w:t>
      </w:r>
      <w:r>
        <w:t xml:space="preserve"> </w:t>
      </w:r>
      <w:r>
        <w:t xml:space="preserve">Section XII (Risks and Limits) (developing the architectural contrast between the review-ready static website, whose pages are fixed at build time and inspectable at the build-time professorial-review checkpoint the architecture enables, and a system that generates responses at runtime without prior review, and locating each architecture’s risk surface accordingly).</w:t>
      </w:r>
    </w:p>
  </w:footnote>
  <w:footnote w:id="215">
    <w:p>
      <w:pPr>
        <w:pStyle w:val="FootnoteText"/>
      </w:pPr>
      <w:r>
        <w:rPr>
          <w:rStyle w:val="FootnoteReference"/>
        </w:rPr>
        <w:footnoteRef/>
      </w:r>
      <w:r>
        <w:t xml:space="preserve"> </w:t>
      </w:r>
      <w:r>
        <w:t xml:space="preserve">Saadiq F. Usman,</w:t>
      </w:r>
      <w:r>
        <w:t xml:space="preserve"> </w:t>
      </w:r>
      <w:r>
        <w:rPr>
          <w:i/>
          <w:iCs/>
        </w:rPr>
        <w:t xml:space="preserve">Making Legal Education Stick: Using Cognitive Science to Help Law Students Learn</w:t>
      </w:r>
      <w:r>
        <w:t xml:space="preserve">, Legal Writing Inst. (2018), https://www.lwionline.org/sites/default/files/2018-06/Usman%20Making%20Legal%20Education%20Stick.pdf (last visited May 24, 2026) (URL verified live this run via WebFetch, which returned the published PDF; applying cognitive-load theory, worked examples, and spaced retrieval to law-school teaching, and supporting the claim that doctrinal courses share a learnable rule, exception, and application structure that maps onto a small set of note types).</w:t>
      </w:r>
    </w:p>
  </w:footnote>
  <w:footnote w:id="216">
    <w:p>
      <w:pPr>
        <w:pStyle w:val="FootnoteText"/>
      </w:pPr>
      <w:r>
        <w:rPr>
          <w:rStyle w:val="FootnoteReference"/>
        </w:rPr>
        <w:footnoteRef/>
      </w:r>
      <w:r>
        <w:t xml:space="preserve"> </w:t>
      </w:r>
      <w:r>
        <w:rPr>
          <w:i/>
          <w:iCs/>
        </w:rPr>
        <w:t xml:space="preserve">See infra</w:t>
      </w:r>
      <w:r>
        <w:t xml:space="preserve"> </w:t>
      </w:r>
      <w:r>
        <w:t xml:space="preserve">Section XI (Evaluation: What Would Count as Success) (stating that the article advances a method claim rather than a learning-outcomes claim, because the single course does not license a measured-improvement claim absent a study the article does not run).</w:t>
      </w:r>
    </w:p>
  </w:footnote>
  <w:footnote w:id="218">
    <w:p>
      <w:pPr>
        <w:pStyle w:val="FootnoteText"/>
      </w:pPr>
      <w:r>
        <w:rPr>
          <w:rStyle w:val="FootnoteReference"/>
        </w:rPr>
        <w:footnoteRef/>
      </w:r>
      <w:r>
        <w:t xml:space="preserve"> </w:t>
      </w:r>
      <w:r>
        <w:rPr>
          <w:i/>
          <w:iCs/>
        </w:rPr>
        <w:t xml:space="preserve">See infra</w:t>
      </w:r>
      <w:r>
        <w:t xml:space="preserve"> </w:t>
      </w:r>
      <w:r>
        <w:t xml:space="preserve">Section XI (Evaluation: What Would Count as Success) (taking up what would count as the method having worked, in this course or in another).</w:t>
      </w:r>
    </w:p>
  </w:footnote>
  <w:footnote w:id="221">
    <w:p>
      <w:pPr>
        <w:pStyle w:val="FootnoteText"/>
      </w:pPr>
      <w:r>
        <w:rPr>
          <w:rStyle w:val="FootnoteReference"/>
        </w:rPr>
        <w:footnoteRef/>
      </w:r>
      <w:r>
        <w:t xml:space="preserve"> </w:t>
      </w:r>
      <w:r>
        <w:rPr>
          <w:i/>
          <w:iCs/>
        </w:rPr>
        <w:t xml:space="preserve">See infra</w:t>
      </w:r>
      <w:r>
        <w:t xml:space="preserve"> </w:t>
      </w:r>
      <w:r>
        <w:t xml:space="preserve">notes 148 and 149 (Bond et al.’s field-level call for proportional rigor and Choi &amp; Schwarcz’s recent Journal of Legal Education precedent for meaningful empirical work on artificial intelligence and law-school learning short of a full randomized controlled trial).</w:t>
      </w:r>
    </w:p>
  </w:footnote>
  <w:footnote w:id="222">
    <w:p>
      <w:pPr>
        <w:pStyle w:val="FootnoteText"/>
      </w:pPr>
      <w:r>
        <w:rPr>
          <w:rStyle w:val="FootnoteReference"/>
        </w:rPr>
        <w:footnoteRef/>
      </w:r>
      <w:r>
        <w:t xml:space="preserve"> </w:t>
      </w:r>
      <w:r>
        <w:t xml:space="preserve">Am. Bar Ass’n Standard 315 &amp; Interp. 315-1 (2014), https://www.americanbar.org/groups/legal_education/about/committees/outcomes-assessments/about/; Barbara Glesner Fines,</w:t>
      </w:r>
      <w:r>
        <w:t xml:space="preserve"> </w:t>
      </w:r>
      <w:r>
        <w:rPr>
          <w:i/>
          <w:iCs/>
        </w:rPr>
        <w:t xml:space="preserve">Outcomes Assessment for Improving Student Learning</w:t>
      </w:r>
      <w:r>
        <w:t xml:space="preserve"> </w:t>
      </w:r>
      <w:r>
        <w:t xml:space="preserve">§ D, in Michael Hunter Schwartz et al.,</w:t>
      </w:r>
      <w:r>
        <w:t xml:space="preserve"> </w:t>
      </w:r>
      <w:r>
        <w:rPr>
          <w:i/>
          <w:iCs/>
        </w:rPr>
        <w:t xml:space="preserve">Revisiting the Characteristics of Effective Education</w:t>
      </w:r>
      <w:r>
        <w:t xml:space="preserve">, in</w:t>
      </w:r>
      <w:r>
        <w:t xml:space="preserve"> </w:t>
      </w:r>
      <w:r>
        <w:rPr>
          <w:i/>
          <w:iCs/>
        </w:rPr>
        <w:t xml:space="preserve">Building on Best Practices</w:t>
      </w:r>
      <w:r>
        <w:t xml:space="preserve"> </w:t>
      </w:r>
      <w:r>
        <w:t xml:space="preserve">(Maranville et al. eds., LexisNexis 2015), https://papers.ssrn.com/sol3/papers.cfm?abstract_id=2637490; Sophie M. Sparrow,</w:t>
      </w:r>
      <w:r>
        <w:t xml:space="preserve"> </w:t>
      </w:r>
      <w:r>
        <w:rPr>
          <w:i/>
          <w:iCs/>
        </w:rPr>
        <w:t xml:space="preserve">Describing the Ball</w:t>
      </w:r>
      <w:r>
        <w:t xml:space="preserve">, 2004 Mich. St. L. Rev. 1, 4-7, https://scholars.unh.edu/law_facpub/32/ (all last visited May 29, 2026). This authority enters Section XI.A late in the drafting sequence and is therefore numbered in insertion order rather than at the next contiguous slot after [^149]; the body invocation appears between [^149] and [^150] without disturbing the surrounding ascending sequence.</w:t>
      </w:r>
    </w:p>
  </w:footnote>
  <w:footnote w:id="224">
    <w:p>
      <w:pPr>
        <w:pStyle w:val="FootnoteText"/>
      </w:pPr>
      <w:r>
        <w:rPr>
          <w:rStyle w:val="FootnoteReference"/>
        </w:rPr>
        <w:footnoteRef/>
      </w:r>
      <w:r>
        <w:t xml:space="preserve"> </w:t>
      </w:r>
      <w:r>
        <w:rPr>
          <w:i/>
          <w:iCs/>
        </w:rPr>
        <w:t xml:space="preserve">See infra</w:t>
      </w:r>
      <w:r>
        <w:t xml:space="preserve"> </w:t>
      </w:r>
      <w:r>
        <w:t xml:space="preserve">note 151 (Sajja et al., for the chatbot-tutor evaluation-vocabulary surface contrasted here; the navigation, use-pattern, and verification measures specified at Section XI.B are the matched alternative for a review-ready static-website object).</w:t>
      </w:r>
    </w:p>
  </w:footnote>
  <w:footnote w:id="226">
    <w:p>
      <w:pPr>
        <w:pStyle w:val="FootnoteText"/>
      </w:pPr>
      <w:r>
        <w:rPr>
          <w:rStyle w:val="FootnoteReference"/>
        </w:rPr>
        <w:footnoteRef/>
      </w:r>
      <w:r>
        <w:t xml:space="preserve"> </w:t>
      </w:r>
      <w:r>
        <w:t xml:space="preserve">Melissa Bond et al.,</w:t>
      </w:r>
      <w:r>
        <w:t xml:space="preserve"> </w:t>
      </w:r>
      <w:r>
        <w:rPr>
          <w:i/>
          <w:iCs/>
        </w:rPr>
        <w:t xml:space="preserve">A Meta Systematic Review of Artificial Intelligence in Higher Education: A Call for Increased Ethics, Collaboration, and Rigour</w:t>
      </w:r>
      <w:r>
        <w:t xml:space="preserve">, 21 Int’l J. Educ. Tech. Higher Educ. art. 4 (2024), https://link.springer.com/article/10.1186/s41239-023-00436-z (last visited June 7, 2026) (URL liveness anchored at the run-221 WebSearch verification with allowed_domains scoped to link.springer.com per L-022, returning the verbatim title and URL in the first result page; the meta-systematic review synthesizes a sixty-six-publication corpus of artificial-intelligence-in-higher-education research drawn from seven databases and published between 2018 and July 2023. Bond codes the corpus through Zawacki-Richter et al.’s (2019) typology of Profiling and Prediction, Assessment and Evaluation, Adaptive Systems and Personalisation, and Intelligent Tutoring Systems, with Adaptive Systems and Personalisation the predominant single application area across the corpus. The transfer of inference is field-level: the cited corpus is built predominantly on adaptive and interactive interventions, chiefly adaptive systems and personalization but also intelligent tutoring systems and chatbots, while this article evaluates a review-ready static-website artifact, so what transfers is the field-level call for proportional rigor and what does not transfer is the adaptive-and-interactive implementation surface).</w:t>
      </w:r>
    </w:p>
  </w:footnote>
  <w:footnote w:id="228">
    <w:p>
      <w:pPr>
        <w:pStyle w:val="FootnoteText"/>
      </w:pPr>
      <w:r>
        <w:rPr>
          <w:rStyle w:val="FootnoteReference"/>
        </w:rPr>
        <w:footnoteRef/>
      </w:r>
      <w:r>
        <w:t xml:space="preserve"> </w:t>
      </w:r>
      <w:r>
        <w:t xml:space="preserve">Jonathan H. Choi &amp; Daniel Schwarcz,</w:t>
      </w:r>
      <w:r>
        <w:t xml:space="preserve"> </w:t>
      </w:r>
      <w:r>
        <w:rPr>
          <w:i/>
          <w:iCs/>
        </w:rPr>
        <w:t xml:space="preserve">AI Assistance in Legal Analysis: An Empirical Study</w:t>
      </w:r>
      <w:r>
        <w:t xml:space="preserve">, 73 J. Legal Educ. 384 (2025), https://jle.aals.org/home/vol73/iss2/5/ (last visited May 31, 2026) (URL verified live May 31, 2026, the landing page returning the verbatim title and authors. The transfer of inference is at the rigor altitude: the cited study evaluates an LLM-assisted exam-answer task, while this article evaluates use patterns on a review-ready static-website artifact, so what transfers is the precedent that publishable empirical work in this Journal’s own pages need not be a full randomized controlled trial and what does not transfer is the LLM-assisted-exam-answer implementation surface).</w:t>
      </w:r>
    </w:p>
  </w:footnote>
  <w:footnote w:id="229">
    <w:p>
      <w:pPr>
        <w:pStyle w:val="FootnoteText"/>
      </w:pPr>
      <w:r>
        <w:rPr>
          <w:rStyle w:val="FootnoteReference"/>
        </w:rPr>
        <w:footnoteRef/>
      </w:r>
      <w:r>
        <w:t xml:space="preserve"> </w:t>
      </w:r>
      <w:r>
        <w:t xml:space="preserve">Ramteja Sajja, Yusuf Sermet, David M. Cwiertny &amp; Ibrahim Demir,</w:t>
      </w:r>
      <w:r>
        <w:t xml:space="preserve"> </w:t>
      </w:r>
      <w:r>
        <w:rPr>
          <w:i/>
          <w:iCs/>
        </w:rPr>
        <w:t xml:space="preserve">Platform-Independent and Curriculum-Oriented Intelligent Assistant for Higher Education</w:t>
      </w:r>
      <w:r>
        <w:t xml:space="preserve">, 20 Int’l J. Educ. Tech. Higher Educ. art. 42 (2023). URL liveness is owned by</w:t>
      </w:r>
      <w:r>
        <w:t xml:space="preserve"> </w:t>
      </w:r>
      <w:r>
        <w:rPr>
          <w:i/>
          <w:iCs/>
        </w:rPr>
        <w:t xml:space="preserve">supra</w:t>
      </w:r>
      <w:r>
        <w:t xml:space="preserve"> </w:t>
      </w:r>
      <w:r>
        <w:t xml:space="preserve">Section III (Case Study) (Sajja static-versus-chatbot user-experience-contrast footnote) and</w:t>
      </w:r>
      <w:r>
        <w:t xml:space="preserve"> </w:t>
      </w:r>
      <w:r>
        <w:rPr>
          <w:i/>
          <w:iCs/>
        </w:rPr>
        <w:t xml:space="preserve">infra</w:t>
      </w:r>
      <w:r>
        <w:t xml:space="preserve"> </w:t>
      </w:r>
      <w:r>
        <w:t xml:space="preserve">Section VIII (Vault to Website) (Sajja chatbot-architecture-contrast footnote), where it was last verified live (the transfer of inference at the evaluation altitude: Sajja’s platform-independent intelligent assistant is a chatbot tutor at runtime, evaluated for response quality, curriculum grounding of answers, and platform independence, while Section XI evaluates use patterns on a review-ready static-website artifact through Likert, analytics, and think-aloud instruments, so what transfers is the structural recognition that success measures must match the object being evaluated and what does not transfer is the chatbot-tutor evaluation-vocabulary surface).</w:t>
      </w:r>
    </w:p>
  </w:footnote>
  <w:footnote w:id="230">
    <w:p>
      <w:pPr>
        <w:pStyle w:val="FootnoteText"/>
      </w:pPr>
      <w:r>
        <w:rPr>
          <w:rStyle w:val="FootnoteReference"/>
        </w:rPr>
        <w:footnoteRef/>
      </w:r>
      <w:r>
        <w:t xml:space="preserve"> </w:t>
      </w:r>
      <w:r>
        <w:rPr>
          <w:i/>
          <w:iCs/>
        </w:rPr>
        <w:t xml:space="preserve">See supra</w:t>
      </w:r>
      <w:r>
        <w:t xml:space="preserve"> </w:t>
      </w:r>
      <w:r>
        <w:t xml:space="preserve">notes 147 and 151 (the artifact-matched evaluation rationale: a review-ready static website has no runtime generation surface, so the response-quality and answer-accuracy questions the chatbot-tutor evaluation literature asks do not apply, and the navigation, use-pattern, and verification measures specified at Section XI.B are the matched alternative);</w:t>
      </w:r>
      <w:r>
        <w:t xml:space="preserve"> </w:t>
      </w:r>
      <w:r>
        <w:rPr>
          <w:i/>
          <w:iCs/>
        </w:rPr>
        <w:t xml:space="preserve">see also infra</w:t>
      </w:r>
      <w:r>
        <w:t xml:space="preserve"> </w:t>
      </w:r>
      <w:r>
        <w:t xml:space="preserve">Section XII (Risks and Limits) (substantive treatment of overreliance and hallucination, cross-referenced here rather than restated).</w:t>
      </w:r>
    </w:p>
  </w:footnote>
  <w:footnote w:id="232">
    <w:p>
      <w:pPr>
        <w:pStyle w:val="FootnoteText"/>
      </w:pPr>
      <w:r>
        <w:rPr>
          <w:rStyle w:val="FootnoteReference"/>
        </w:rPr>
        <w:footnoteRef/>
      </w:r>
      <w:r>
        <w:t xml:space="preserve"> </w:t>
      </w:r>
      <w:r>
        <w:rPr>
          <w:i/>
          <w:iCs/>
        </w:rPr>
        <w:t xml:space="preserve">See supra</w:t>
      </w:r>
      <w:r>
        <w:t xml:space="preserve"> </w:t>
      </w:r>
      <w:r>
        <w:t xml:space="preserve">Section IV (The Input Corpus) § IV.E (snapshot-disclosure paragraph: the dual-form plan-only versus plan-plus-results structural pattern Section XI mirrors here at the evaluation altitude).</w:t>
      </w:r>
    </w:p>
  </w:footnote>
  <w:footnote w:id="233">
    <w:p>
      <w:pPr>
        <w:pStyle w:val="FootnoteText"/>
      </w:pPr>
      <w:r>
        <w:rPr>
          <w:rStyle w:val="FootnoteReference"/>
        </w:rPr>
        <w:footnoteRef/>
      </w:r>
      <w:r>
        <w:t xml:space="preserve"> </w:t>
      </w:r>
      <w:r>
        <w:rPr>
          <w:i/>
          <w:iCs/>
        </w:rPr>
        <w:t xml:space="preserve">See infra</w:t>
      </w:r>
      <w:r>
        <w:t xml:space="preserve"> </w:t>
      </w:r>
      <w:r>
        <w:t xml:space="preserve">Section IX (Cost and Labor) (single-owner-section routing convention: cost, throughput, person-hours, and similar numeric figures route to the section holding the master record rather than being inventoried in body prose).</w:t>
      </w:r>
    </w:p>
  </w:footnote>
  <w:footnote w:id="236">
    <w:p>
      <w:pPr>
        <w:pStyle w:val="FootnoteText"/>
      </w:pPr>
      <w:r>
        <w:rPr>
          <w:rStyle w:val="FootnoteReference"/>
        </w:rPr>
        <w:footnoteRef/>
      </w:r>
      <w:r>
        <w:t xml:space="preserve"> </w:t>
      </w:r>
      <w:r>
        <w:t xml:space="preserve">Varun Magesh, Faiz Surani, Matthew Dahl, Mirac Suzgun, Christopher D. Manning &amp; Daniel E. Ho,</w:t>
      </w:r>
      <w:r>
        <w:t xml:space="preserve"> </w:t>
      </w:r>
      <w:r>
        <w:rPr>
          <w:i/>
          <w:iCs/>
        </w:rPr>
        <w:t xml:space="preserve">Hallucination-Free? Assessing the Reliability of Leading AI Legal Research Tools</w:t>
      </w:r>
      <w:r>
        <w:t xml:space="preserve">, 22 J. Empirical Legal Stud. 216 (2025), https://onlinelibrary.wiley.com/doi/abs/10.1111/jels.12413 (last visited May 31, 2026) (reporting that three leading commercial legal retrieval-augmented-generation tools, Lexis+ AI, Westlaw AI-Assisted Research, and Ask Practical Law AI, hallucinate legal citations between seventeen and thirty-three percent of the time despite being purpose-built and corpus-grounded for legal research; preprint at arXiv:2405.20362). The published-version pagination was reconfirmed this run (run 144) via WebSearch with allowed_domains scoping returning the verbatim title at the live Wiley abstract path and the author-hosted Stanford copy, both placing the article at volume 22, pages 216 to 242; this confirms the starting page cited above and closes the article’s open pagination-confirmation item. The live-repository /doi/abs/ path is preferred over the workplan-transcribed /doi/full/ path, which returned HTTP 403 to WebFetch, per the article’s repository-path-over-transcription convention. Transfer-of-inference: the runtime-generation risk this finding measures generalizes to any chatbot-tutor architecture, while the three-system evaluation instrumentation does not transfer to a review-ready static website, which has no runtime generation surface for hallucination to occur on.</w:t>
      </w:r>
    </w:p>
  </w:footnote>
  <w:footnote w:id="237">
    <w:p>
      <w:pPr>
        <w:pStyle w:val="FootnoteText"/>
      </w:pPr>
      <w:r>
        <w:rPr>
          <w:rStyle w:val="FootnoteReference"/>
        </w:rPr>
        <w:footnoteRef/>
      </w:r>
      <w:r>
        <w:t xml:space="preserve"> </w:t>
      </w:r>
      <w:r>
        <w:t xml:space="preserve">Varun Magesh, Faiz Surani, Matthew Dahl, Mirac Suzgun, Christopher D. Manning &amp; Daniel E. Ho,</w:t>
      </w:r>
      <w:r>
        <w:t xml:space="preserve"> </w:t>
      </w:r>
      <w:r>
        <w:rPr>
          <w:i/>
          <w:iCs/>
        </w:rPr>
        <w:t xml:space="preserve">Hallucination-Free? Assessing the Reliability of Leading AI Legal Research Tools</w:t>
      </w:r>
      <w:r>
        <w:t xml:space="preserve">, 22 J. Empirical Legal Stud. 216 (2025), https://onlinelibrary.wiley.com/doi/abs/10.1111/jels.12413 (last visited May 31, 2026) (reporting that three leading commercial legal retrieval-augmented-generation tools, Lexis+ AI, Westlaw AI-Assisted Research, and Ask Practical Law AI, hallucinate legal citations between seventeen and thirty-three percent of the time despite being purpose-built and corpus-grounded for legal research; preprint at arXiv:2405.20362). The published-version pagination was reconfirmed this run (run 144) via WebSearch with allowed_domains scoping returning the verbatim title at the live Wiley abstract path and the author-hosted Stanford copy, both placing the article at volume 22, pages 216 to 242; this confirms the starting page cited above and closes the article’s open pagination-confirmation item. The live-repository /doi/abs/ path is preferred over the workplan-transcribed /doi/full/ path, which returned HTTP 403 to WebFetch, per the article’s repository-path-over-transcription convention. Transfer-of-inference: the runtime-generation risk this finding measures generalizes to any chatbot-tutor architecture, while the three-system evaluation instrumentation does not transfer to a review-ready static website, which has no runtime generation surface for hallucination to occur on.</w:t>
      </w:r>
    </w:p>
  </w:footnote>
  <w:footnote w:id="238">
    <w:p>
      <w:pPr>
        <w:pStyle w:val="FootnoteText"/>
      </w:pPr>
      <w:r>
        <w:rPr>
          <w:rStyle w:val="FootnoteReference"/>
        </w:rPr>
        <w:footnoteRef/>
      </w:r>
      <w:r>
        <w:t xml:space="preserve"> </w:t>
      </w:r>
      <w:r>
        <w:rPr>
          <w:i/>
          <w:iCs/>
        </w:rPr>
        <w:t xml:space="preserve">Mata v. Avianca, Inc.</w:t>
      </w:r>
      <w:r>
        <w:t xml:space="preserve">, 678 F. Supp. 3d 443 (S.D.N.Y. 2023) (Castel, J.) (imposing Rule 11 sanctions on attorneys who submitted a brief containing six fabricated judicial opinions generated by the artificial-intelligence tool ChatGPT and who stood by the fabrications after the court questioned their existence). Citation and the six-fabrication and Rule 11 facts verified this run against the indexed reporter; no verbatim passage is imported into prose, so no verbatim-quotation verification was triggered. Transfer-of-inference: the point that verification habits matter in practice generalizes to any AI-tool deployment in legal education, while the sanctioned-brief posture is one realization of the risk rather than a claim that this case study creates it.</w:t>
      </w:r>
    </w:p>
  </w:footnote>
  <w:footnote w:id="239">
    <w:p>
      <w:pPr>
        <w:pStyle w:val="FootnoteText"/>
      </w:pPr>
      <w:r>
        <w:rPr>
          <w:rStyle w:val="FootnoteReference"/>
        </w:rPr>
        <w:footnoteRef/>
      </w:r>
      <w:r>
        <w:t xml:space="preserve"> </w:t>
      </w:r>
      <w:r>
        <w:rPr>
          <w:i/>
          <w:iCs/>
        </w:rPr>
        <w:t xml:space="preserve">Mata v. Avianca, Inc.</w:t>
      </w:r>
      <w:r>
        <w:t xml:space="preserve">, 678 F. Supp. 3d 443 (S.D.N.Y. 2023) (Castel, J.) (imposing Rule 11 sanctions on attorneys who submitted a brief containing six fabricated judicial opinions generated by the artificial-intelligence tool ChatGPT and who stood by the fabrications after the court questioned their existence). Citation and the six-fabrication and Rule 11 facts verified this run against the indexed reporter; no verbatim passage is imported into prose, so no verbatim-quotation verification was triggered. Transfer-of-inference: the point that verification habits matter in practice generalizes to any AI-tool deployment in legal education, while the sanctioned-brief posture is one realization of the risk rather than a claim that this case study creates it.</w:t>
      </w:r>
    </w:p>
  </w:footnote>
  <w:footnote w:id="241">
    <w:p>
      <w:pPr>
        <w:pStyle w:val="FootnoteText"/>
      </w:pPr>
      <w:r>
        <w:rPr>
          <w:rStyle w:val="FootnoteReference"/>
        </w:rPr>
        <w:footnoteRef/>
      </w:r>
      <w:r>
        <w:t xml:space="preserve"> </w:t>
      </w:r>
      <w:r>
        <w:rPr>
          <w:i/>
          <w:iCs/>
        </w:rPr>
        <w:t xml:space="preserve">See supra</w:t>
      </w:r>
      <w:r>
        <w:t xml:space="preserve"> </w:t>
      </w:r>
      <w:r>
        <w:t xml:space="preserve">Section VIII note 117 (Ramteja Sajja, Yusuf Sermet, David M. Cwiertny &amp; Ibrahim Demir,</w:t>
      </w:r>
      <w:r>
        <w:t xml:space="preserve"> </w:t>
      </w:r>
      <w:r>
        <w:rPr>
          <w:i/>
          <w:iCs/>
        </w:rPr>
        <w:t xml:space="preserve">Platform-Independent and Curriculum-Oriented Intelligent Assistant for Higher Education</w:t>
      </w:r>
      <w:r>
        <w:t xml:space="preserve">, 20 Int’l J. Educ. Tech. Higher Educ. art. 42 (2023), a large-language-model-backed curriculum-oriented chatbot tutor that generates responses at runtime; cited as the representative chatbot-architecture contrast). URL liveness is owned by Section VIII per the article’s cross-section-reuse convention. What transfers is the structural difference in where runtime risk lives; the chatbot-tutor implementation does not transfer to the case study’s review-ready static publication.</w:t>
      </w:r>
    </w:p>
  </w:footnote>
  <w:footnote w:id="242">
    <w:p>
      <w:pPr>
        <w:pStyle w:val="FootnoteText"/>
      </w:pPr>
      <w:r>
        <w:rPr>
          <w:rStyle w:val="FootnoteReference"/>
        </w:rPr>
        <w:footnoteRef/>
      </w:r>
      <w:r>
        <w:t xml:space="preserve"> </w:t>
      </w:r>
      <w:r>
        <w:rPr>
          <w:i/>
          <w:iCs/>
        </w:rPr>
        <w:t xml:space="preserve">See supra</w:t>
      </w:r>
      <w:r>
        <w:t xml:space="preserve"> </w:t>
      </w:r>
      <w:r>
        <w:t xml:space="preserve">Section XI note 153 (Melissa Bond et al.,</w:t>
      </w:r>
      <w:r>
        <w:t xml:space="preserve"> </w:t>
      </w:r>
      <w:r>
        <w:rPr>
          <w:i/>
          <w:iCs/>
        </w:rPr>
        <w:t xml:space="preserve">A Meta Systematic Review of Artificial Intelligence in Higher Education: A Call for Increased Ethics, Collaboration, and Rigour</w:t>
      </w:r>
      <w:r>
        <w:t xml:space="preserve">, 21 Int’l J. Educ. Tech. Higher Educ. art. 4 (2024)). URL liveness is owned by Section XI per the article’s cross-section-reuse convention. Transfer-of-inference, distinct from Section XI’s: Bond codes the corpus through Zawacki-Richter et al.’s (2019) typology of Profiling and Prediction, Assessment and Evaluation, Adaptive Systems and Personalisation, and Intelligent Tutoring Systems, with Adaptive Systems and Personalisation the predominant single application area across the corpus; Bond’s ethics-and-rigor critique of that corpus reaches any artificial-intelligence-in-higher-education system, including a review-ready static website, but the risk surface this section catalogues is the static artifact’s own rather than the adaptive and interactive intervention surface that corpus predominantly covers. The corpus-composition characterization was corrected at the run-144 Cite tick, which removed an earlier “predominantly chatbot-tutor and learning-management-system” description the source does not support; the typology-anchored application-area distribution above was confirmed via WebSearch against the Springer record, the article remaining open access at the cross-referenced Section XI note 153 URL.</w:t>
      </w:r>
    </w:p>
  </w:footnote>
  <w:footnote w:id="243">
    <w:p>
      <w:pPr>
        <w:pStyle w:val="FootnoteText"/>
      </w:pPr>
      <w:r>
        <w:rPr>
          <w:rStyle w:val="FootnoteReference"/>
        </w:rPr>
        <w:footnoteRef/>
      </w:r>
      <w:r>
        <w:t xml:space="preserve"> </w:t>
      </w:r>
      <w:r>
        <w:rPr>
          <w:i/>
          <w:iCs/>
        </w:rPr>
        <w:t xml:space="preserve">See</w:t>
      </w:r>
      <w:r>
        <w:t xml:space="preserve"> </w:t>
      </w:r>
      <w:r>
        <w:t xml:space="preserve">Helena Vasconcelos et al.,</w:t>
      </w:r>
      <w:r>
        <w:t xml:space="preserve"> </w:t>
      </w:r>
      <w:r>
        <w:rPr>
          <w:i/>
          <w:iCs/>
        </w:rPr>
        <w:t xml:space="preserve">Explanations Can Reduce Overreliance on AI Systems During Decision-Making</w:t>
      </w:r>
      <w:r>
        <w:t xml:space="preserve">, 7 Proc. ACM Hum.-Comput. Interact. art. 129 (CSCW1 2023), https://doi.org/10.1145/3579605 (last visited May 30, 2026) (formalizing overreliance on AI as a cost-benefit strategic choice sensitive to task difficulty and explanation cost, rather than as a fixed cognitive failing); Hamsa Bastani et al.,</w:t>
      </w:r>
      <w:r>
        <w:t xml:space="preserve"> </w:t>
      </w:r>
      <w:r>
        <w:rPr>
          <w:i/>
          <w:iCs/>
        </w:rPr>
        <w:t xml:space="preserve">Generative AI Without Guardrails Can Harm Learning: Evidence from High School Mathematics</w:t>
      </w:r>
      <w:r>
        <w:t xml:space="preserve">, 122 Proc. Nat’l Acad. Sci. U.S.A. e2422633122 (2025), https://doi.org/10.1073/pnas.2422633122 (last visited May 30, 2026) (field experiment finding students treated an unrestricted ChatGPT-style tutor as a crutch and scored about seventeen percent lower than control on unaided exams, while a teacher-hint GPT-Tutor variant did not produce the same loss). Transfer-of-inference: the overreliance phenomenon reaches any AI-tool deployment in legal education and bears on the displacement risk this paragraph names; the Bastani magnitude does not transfer to a review-ready static website, which exposes no runtime generation surface for a student to lean on at the moment of use.</w:t>
      </w:r>
    </w:p>
  </w:footnote>
  <w:footnote w:id="245">
    <w:p>
      <w:pPr>
        <w:pStyle w:val="FootnoteText"/>
      </w:pPr>
      <w:r>
        <w:rPr>
          <w:rStyle w:val="FootnoteReference"/>
        </w:rPr>
        <w:footnoteRef/>
      </w:r>
      <w:r>
        <w:t xml:space="preserve"> </w:t>
      </w:r>
      <w:r>
        <w:rPr>
          <w:i/>
          <w:iCs/>
        </w:rPr>
        <w:t xml:space="preserve">See supra</w:t>
      </w:r>
      <w:r>
        <w:t xml:space="preserve"> </w:t>
      </w:r>
      <w:r>
        <w:t xml:space="preserve">Section IV (corpus limited to the professor’s own slides and notes, public opinions, constitutional and statutory text, and original hypotheticals, none of it casebook prose);</w:t>
      </w:r>
      <w:r>
        <w:t xml:space="preserve"> </w:t>
      </w:r>
      <w:r>
        <w:rPr>
          <w:i/>
          <w:iCs/>
        </w:rPr>
        <w:t xml:space="preserve">see also supra</w:t>
      </w:r>
      <w:r>
        <w:t xml:space="preserve"> </w:t>
      </w:r>
      <w:r>
        <w:t xml:space="preserve">Section IV note 53 (author’s understanding, subject to Professor Chandler’s confirmation, that no casebook excerpts were ingested into the vault corpus, the basis on which this section’s casebook open question is now closed at the snapshot level). The remaining body analysis is preserved as a contingent fallback should that understanding ever prove wrong.</w:t>
      </w:r>
    </w:p>
  </w:footnote>
  <w:footnote w:id="246">
    <w:p>
      <w:pPr>
        <w:pStyle w:val="FootnoteText"/>
      </w:pPr>
      <w:r>
        <w:rPr>
          <w:rStyle w:val="FootnoteReference"/>
        </w:rPr>
        <w:footnoteRef/>
      </w:r>
      <w:r>
        <w:t xml:space="preserve"> </w:t>
      </w:r>
      <w:r>
        <w:rPr>
          <w:i/>
          <w:iCs/>
        </w:rPr>
        <w:t xml:space="preserve">See supra</w:t>
      </w:r>
      <w:r>
        <w:t xml:space="preserve"> </w:t>
      </w:r>
      <w:r>
        <w:t xml:space="preserve">Section V (structure-aware retrieval from a typed-schema corpus) and Section VIII (review-ready static publication produced at build time). The curriculum-grounding claim applies to the course-issued layer of slides, indexed opinions, and professor-authored hypotheticals rather than to the full assigned reading load, and the static architecture performs no runtime retrieval against the casebook; a future replication could ingest casebook excerpts under a license that permits it.</w:t>
      </w:r>
    </w:p>
  </w:footnote>
  <w:footnote w:id="248">
    <w:p>
      <w:pPr>
        <w:pStyle w:val="FootnoteText"/>
      </w:pPr>
      <w:r>
        <w:rPr>
          <w:rStyle w:val="FootnoteReference"/>
        </w:rPr>
        <w:footnoteRef/>
      </w:r>
      <w:r>
        <w:t xml:space="preserve"> </w:t>
      </w:r>
      <w:r>
        <w:rPr>
          <w:i/>
          <w:iCs/>
        </w:rPr>
        <w:t xml:space="preserve">See supra</w:t>
      </w:r>
      <w:r>
        <w:t xml:space="preserve"> </w:t>
      </w:r>
      <w:r>
        <w:t xml:space="preserve">Section IV note 54 (author’s understanding, subject to Professor Chandler’s confirmation, that no student assessment or submitted work was ingested as input; the only third-party-authored content the corpus contains is review-session materials prepared by teaching assistants, treated here as a TA-authorship and attribution matter rather than as a student-data or FERPA privacy matter). The FERPA-compliant handling, consent, anonymization, and institutional-review approval named here apply to any future replication that ingests student work.</w:t>
      </w:r>
    </w:p>
  </w:footnote>
  <w:footnote w:id="249">
    <w:p>
      <w:pPr>
        <w:pStyle w:val="FootnoteText"/>
      </w:pPr>
      <w:r>
        <w:rPr>
          <w:rStyle w:val="FootnoteReference"/>
        </w:rPr>
        <w:footnoteRef/>
      </w:r>
      <w:r>
        <w:t xml:space="preserve"> </w:t>
      </w:r>
      <w:r>
        <w:rPr>
          <w:i/>
          <w:iCs/>
        </w:rPr>
        <w:t xml:space="preserve">See supra</w:t>
      </w:r>
      <w:r>
        <w:t xml:space="preserve"> </w:t>
      </w:r>
      <w:r>
        <w:t xml:space="preserve">Section VIII note 107 (the deployed site’s PostHog analytics configured to respect Do Not Track and to disable session recording).</w:t>
      </w:r>
    </w:p>
  </w:footnote>
  <w:footnote w:id="250">
    <w:p>
      <w:pPr>
        <w:pStyle w:val="FootnoteText"/>
      </w:pPr>
      <w:r>
        <w:rPr>
          <w:rStyle w:val="FootnoteReference"/>
        </w:rPr>
        <w:footnoteRef/>
      </w:r>
      <w:r>
        <w:t xml:space="preserve"> </w:t>
      </w:r>
      <w:r>
        <w:t xml:space="preserve">The article fixes the deployed-site snapshot through a tagged source release at the snapshot date, an archive.org capture of the deployed pages, and a canonical reference to that tagged version rather than to the live site, with continued evolution of the site after the snapshot date the expected posture.</w:t>
      </w:r>
      <w:r>
        <w:t xml:space="preserve"> </w:t>
      </w:r>
      <w:r>
        <w:rPr>
          <w:i/>
          <w:iCs/>
        </w:rPr>
        <w:t xml:space="preserve">See supra</w:t>
      </w:r>
      <w:r>
        <w:t xml:space="preserve"> </w:t>
      </w:r>
      <w:r>
        <w:t xml:space="preserve">Section IV notes 52, 52, and 54 (input-corpus snapshot disclosure and snapshot-date selection, the input-side analogue).</w:t>
      </w:r>
    </w:p>
  </w:footnote>
  <w:footnote w:id="252">
    <w:p>
      <w:pPr>
        <w:pStyle w:val="FootnoteText"/>
      </w:pPr>
      <w:r>
        <w:rPr>
          <w:rStyle w:val="FootnoteReference"/>
        </w:rPr>
        <w:footnoteRef/>
      </w:r>
      <w:r>
        <w:t xml:space="preserve"> </w:t>
      </w:r>
      <w:r>
        <w:t xml:space="preserve">The equity-and-accessibility risks are consolidated here: the deployed application’s broadband and modern-browser dependence, the open screen-reader question for its hash-route navigation and search palette, the device assumption in the 300-dpi PDFs, and the Canvas-enrollment gate on the input corpus.</w:t>
      </w:r>
      <w:r>
        <w:t xml:space="preserve"> </w:t>
      </w:r>
      <w:r>
        <w:rPr>
          <w:i/>
          <w:iCs/>
        </w:rPr>
        <w:t xml:space="preserve">Cf. supra</w:t>
      </w:r>
      <w:r>
        <w:t xml:space="preserve"> </w:t>
      </w:r>
      <w:r>
        <w:t xml:space="preserve">Sections II, III, IV, and VIII.</w:t>
      </w:r>
      <w:r>
        <w:t xml:space="preserve"> </w:t>
      </w:r>
      <w:r>
        <w:rPr>
          <w:i/>
          <w:iCs/>
        </w:rPr>
        <w:t xml:space="preserve">See</w:t>
      </w:r>
      <w:r>
        <w:t xml:space="preserve"> </w:t>
      </w:r>
      <w:r>
        <w:t xml:space="preserve">Am. Bar Ass’n Standard 207 (2025), https://www.americanbar.org/groups/legal_education/accreditation/standards/standards-rules/ (last visited May 30, 2026) (accommodating qualified individuals with disabilities).</w:t>
      </w:r>
    </w:p>
  </w:footnote>
  <w:footnote w:id="253">
    <w:p>
      <w:pPr>
        <w:pStyle w:val="FootnoteText"/>
      </w:pPr>
      <w:r>
        <w:rPr>
          <w:rStyle w:val="FootnoteReference"/>
        </w:rPr>
        <w:footnoteRef/>
      </w:r>
      <w:r>
        <w:t xml:space="preserve"> </w:t>
      </w:r>
      <w:r>
        <w:rPr>
          <w:i/>
          <w:iCs/>
        </w:rPr>
        <w:t xml:space="preserve">See supra</w:t>
      </w:r>
      <w:r>
        <w:t xml:space="preserve"> </w:t>
      </w:r>
      <w:r>
        <w:t xml:space="preserve">Section XI note 153 (Melissa Bond et al.,</w:t>
      </w:r>
      <w:r>
        <w:t xml:space="preserve"> </w:t>
      </w:r>
      <w:r>
        <w:rPr>
          <w:i/>
          <w:iCs/>
        </w:rPr>
        <w:t xml:space="preserve">A Meta Systematic Review of Artificial Intelligence in Higher Education: A Call for Increased Ethics, Collaboration, and Rigour</w:t>
      </w:r>
      <w:r>
        <w:t xml:space="preserve">, 21 Int’l J. Educ. Tech. Higher Educ. art. 4 (2024)). URL liveness is owned by Section XI per the article’s cross-section-reuse convention. Transfer-of-inference, distinct from Section XI’s: Bond codes the corpus through Zawacki-Richter et al.’s (2019) typology of Profiling and Prediction, Assessment and Evaluation, Adaptive Systems and Personalisation, and Intelligent Tutoring Systems, with Adaptive Systems and Personalisation the predominant single application area across the corpus; Bond’s ethics-and-rigor critique of that corpus reaches any artificial-intelligence-in-higher-education system, including a review-ready static website, but the risk surface this section catalogues is the static artifact’s own rather than the adaptive and interactive intervention surface that corpus predominantly covers. The corpus-composition characterization was corrected at the run-144 Cite tick, which removed an earlier “predominantly chatbot-tutor and learning-management-system” description the source does not support; the typology-anchored application-area distribution above was confirmed via WebSearch against the Springer record, the article remaining open access at the cross-referenced Section XI note 153 URL.</w:t>
      </w:r>
    </w:p>
  </w:footnote>
  <w:footnote w:id="254">
    <w:p>
      <w:pPr>
        <w:pStyle w:val="FootnoteText"/>
      </w:pPr>
      <w:r>
        <w:rPr>
          <w:rStyle w:val="FootnoteReference"/>
        </w:rPr>
        <w:footnoteRef/>
      </w:r>
      <w:r>
        <w:t xml:space="preserve"> </w:t>
      </w:r>
      <w:r>
        <w:rPr>
          <w:i/>
          <w:iCs/>
        </w:rPr>
        <w:t xml:space="preserve">See supra</w:t>
      </w:r>
      <w:r>
        <w:t xml:space="preserve"> </w:t>
      </w:r>
      <w:r>
        <w:t xml:space="preserve">Section XI note 153 (Melissa Bond et al.,</w:t>
      </w:r>
      <w:r>
        <w:t xml:space="preserve"> </w:t>
      </w:r>
      <w:r>
        <w:rPr>
          <w:i/>
          <w:iCs/>
        </w:rPr>
        <w:t xml:space="preserve">A Meta Systematic Review of Artificial Intelligence in Higher Education: A Call for Increased Ethics, Collaboration, and Rigour</w:t>
      </w:r>
      <w:r>
        <w:t xml:space="preserve">, 21 Int’l J. Educ. Tech. Higher Educ. art. 4 (2024)). URL liveness is owned by Section XI per the article’s cross-section-reuse convention. Transfer-of-inference, distinct from Section XI’s: Bond codes the corpus through Zawacki-Richter et al.’s (2019) typology of Profiling and Prediction, Assessment and Evaluation, Adaptive Systems and Personalisation, and Intelligent Tutoring Systems, with Adaptive Systems and Personalisation the predominant single application area across the corpus; Bond’s ethics-and-rigor critique of that corpus reaches any artificial-intelligence-in-higher-education system, including a review-ready static website, but the risk surface this section catalogues is the static artifact’s own rather than the adaptive and interactive intervention surface that corpus predominantly covers. The corpus-composition characterization was corrected at the run-144 Cite tick, which removed an earlier “predominantly chatbot-tutor and learning-management-system” description the source does not support; the typology-anchored application-area distribution above was confirmed via WebSearch against the Springer record, the article remaining open access at the cross-referenced Section XI note 153 URL.</w:t>
      </w:r>
    </w:p>
  </w:footnote>
  <w:footnote w:id="255">
    <w:p>
      <w:pPr>
        <w:pStyle w:val="FootnoteText"/>
      </w:pPr>
      <w:r>
        <w:rPr>
          <w:rStyle w:val="FootnoteReference"/>
        </w:rPr>
        <w:footnoteRef/>
      </w:r>
      <w:r>
        <w:t xml:space="preserve"> </w:t>
      </w:r>
      <w:r>
        <w:rPr>
          <w:i/>
          <w:iCs/>
        </w:rPr>
        <w:t xml:space="preserve">See supra</w:t>
      </w:r>
      <w:r>
        <w:t xml:space="preserve"> </w:t>
      </w:r>
      <w:r>
        <w:t xml:space="preserve">Section XI note 153 (Melissa Bond et al.,</w:t>
      </w:r>
      <w:r>
        <w:t xml:space="preserve"> </w:t>
      </w:r>
      <w:r>
        <w:rPr>
          <w:i/>
          <w:iCs/>
        </w:rPr>
        <w:t xml:space="preserve">A Meta Systematic Review of Artificial Intelligence in Higher Education: A Call for Increased Ethics, Collaboration, and Rigour</w:t>
      </w:r>
      <w:r>
        <w:t xml:space="preserve">, 21 Int’l J. Educ. Tech. Higher Educ. art. 4 (2024)). URL liveness is owned by Section XI per the article’s cross-section-reuse convention. Transfer-of-inference, distinct from Section XI’s: Bond codes the corpus through Zawacki-Richter et al.’s (2019) typology of Profiling and Prediction, Assessment and Evaluation, Adaptive Systems and Personalisation, and Intelligent Tutoring Systems, with Adaptive Systems and Personalisation the predominant single application area across the corpus; Bond’s ethics-and-rigor critique of that corpus reaches any artificial-intelligence-in-higher-education system, including a review-ready static website, but the risk surface this section catalogues is the static artifact’s own rather than the adaptive and interactive intervention surface that corpus predominantly covers. The corpus-composition characterization was corrected at the run-144 Cite tick, which removed an earlier “predominantly chatbot-tutor and learning-management-system” description the source does not support; the typology-anchored application-area distribution above was confirmed via WebSearch against the Springer record, the article remaining open access at the cross-referenced Section XI note 153 URL.</w:t>
      </w:r>
    </w:p>
  </w:footnote>
  <w:footnote w:id="258">
    <w:p>
      <w:pPr>
        <w:pStyle w:val="FootnoteText"/>
      </w:pPr>
      <w:r>
        <w:rPr>
          <w:rStyle w:val="FootnoteReference"/>
        </w:rPr>
        <w:footnoteRef/>
      </w:r>
      <w:r>
        <w:t xml:space="preserve"> </w:t>
      </w:r>
      <w:r>
        <w:t xml:space="preserve">H2O Open Casebooks, Harvard Law School Library Innovation Lab, https://opencasebook.org (last visited May 28, 2026) (URL verified live in this Cite run; open platform for making, sharing, and remixing openly licensed casebooks released under a Creative Commons BY-NC-SA license and built on the public-domain case corpus);</w:t>
      </w:r>
      <w:r>
        <w:t xml:space="preserve"> </w:t>
      </w:r>
      <w:r>
        <w:rPr>
          <w:i/>
          <w:iCs/>
        </w:rPr>
        <w:t xml:space="preserve">see also</w:t>
      </w:r>
      <w:r>
        <w:t xml:space="preserve"> </w:t>
      </w:r>
      <w:r>
        <w:rPr>
          <w:i/>
          <w:iCs/>
        </w:rPr>
        <w:t xml:space="preserve">The MIT Press and Harvard Law School Library Launch New Series Offering High-Quality, Affordable Law Textbooks</w:t>
      </w:r>
      <w:r>
        <w:t xml:space="preserve">, MIT News (Apr. 26, 2022), https://news.mit.edu/2022/mit-press-harvard-law-school-library-launch-open-casebook-series-0426 (URL verified live in this Cite run; announcing the jointly launched open casebook series built on the H2O platform); eLangdell Press, Center for Computer-Assisted Legal Instruction, https://www.cali.org/the-elangdell-bookstore (last visited May 28, 2026) (URL verified live in this Cite run; the bookstore describes itself as “100% Free. Creative Commons licensed. Peer-reviewed.” and lists over thirty peer-reviewed casebooks and course materials distributed without charge).</w:t>
      </w:r>
    </w:p>
  </w:footnote>
  <w:footnote w:id="259">
    <w:p>
      <w:pPr>
        <w:pStyle w:val="FootnoteText"/>
      </w:pPr>
      <w:r>
        <w:rPr>
          <w:rStyle w:val="FootnoteReference"/>
        </w:rPr>
        <w:footnoteRef/>
      </w:r>
      <w:r>
        <w:t xml:space="preserve"> </w:t>
      </w:r>
      <w:r>
        <w:rPr>
          <w:i/>
          <w:iCs/>
        </w:rPr>
        <w:t xml:space="preserve">See supra</w:t>
      </w:r>
      <w:r>
        <w:t xml:space="preserve"> </w:t>
      </w:r>
      <w:r>
        <w:t xml:space="preserve">Section XII (Risks and Limits) (developing the architectural contrast between the review-ready-static-site posture and the runtime LMS-integrated AI-tutor and adaptive-courseware alternative, and the rationale for the static posture as the institutional architectural choice this method makes).</w:t>
      </w:r>
    </w:p>
  </w:footnote>
  <w:footnote w:id="261">
    <w:p>
      <w:pPr>
        <w:pStyle w:val="FootnoteText"/>
      </w:pPr>
      <w:r>
        <w:rPr>
          <w:rStyle w:val="FootnoteReference"/>
        </w:rPr>
        <w:footnoteRef/>
      </w:r>
      <w:r>
        <w:t xml:space="preserve"> </w:t>
      </w:r>
      <w:r>
        <w:rPr>
          <w:i/>
          <w:iCs/>
        </w:rPr>
        <w:t xml:space="preserve">See supra</w:t>
      </w:r>
      <w:r>
        <w:t xml:space="preserve"> </w:t>
      </w:r>
      <w:r>
        <w:t xml:space="preserve">Section IX (Cost and Labor: The Honest Accounting) (build tractable for a single professor working with a scheduled assistant, with deployment running on near-zero-cost static hosting; the cost-and-labor figures and master table are developed in that section rather than here).</w:t>
      </w:r>
    </w:p>
  </w:footnote>
  <w:footnote w:id="262">
    <w:p>
      <w:pPr>
        <w:pStyle w:val="FootnoteText"/>
      </w:pPr>
      <w:r>
        <w:rPr>
          <w:rStyle w:val="FootnoteReference"/>
        </w:rPr>
        <w:footnoteRef/>
      </w:r>
      <w:r>
        <w:t xml:space="preserve"> </w:t>
      </w:r>
      <w:r>
        <w:rPr>
          <w:i/>
          <w:iCs/>
        </w:rPr>
        <w:t xml:space="preserve">See supra</w:t>
      </w:r>
      <w:r>
        <w:t xml:space="preserve"> </w:t>
      </w:r>
      <w:r>
        <w:t xml:space="preserve">Section VIII (From Vault to Website) (versioned build pipeline and static-site deployment that information technology hosts and version-controls as custodian).</w:t>
      </w:r>
    </w:p>
  </w:footnote>
  <w:footnote w:id="264">
    <w:p>
      <w:pPr>
        <w:pStyle w:val="FootnoteText"/>
      </w:pPr>
      <w:r>
        <w:rPr>
          <w:rStyle w:val="FootnoteReference"/>
        </w:rPr>
        <w:footnoteRef/>
      </w:r>
      <w:r>
        <w:t xml:space="preserve"> </w:t>
      </w:r>
      <w:r>
        <w:rPr>
          <w:i/>
          <w:iCs/>
        </w:rPr>
        <w:t xml:space="preserve">See supra</w:t>
      </w:r>
      <w:r>
        <w:t xml:space="preserve"> </w:t>
      </w:r>
      <w:r>
        <w:t xml:space="preserve">Section VII (Iterative Improvement Under Professorial Control) (the professor as the designed gating actor whom the workflow positions to review each page at the build-time checkpoint before publication);</w:t>
      </w:r>
      <w:r>
        <w:t xml:space="preserve"> </w:t>
      </w:r>
      <w:r>
        <w:rPr>
          <w:i/>
          <w:iCs/>
        </w:rPr>
        <w:t xml:space="preserve">see also supra</w:t>
      </w:r>
      <w:r>
        <w:t xml:space="preserve"> </w:t>
      </w:r>
      <w:r>
        <w:t xml:space="preserve">Section VIII (From Vault to Website) (May 2026 snapshot pages published as review-ready drafts rather than as individually professor-approved, the author’s understanding subject to Professor Chandler’s confirmation; the gatekeeping role and capability described here are the architecture’s, not a completed-review claim this article makes of the snapshot).</w:t>
      </w:r>
    </w:p>
  </w:footnote>
  <w:footnote w:id="265">
    <w:p>
      <w:pPr>
        <w:pStyle w:val="FootnoteText"/>
      </w:pPr>
      <w:r>
        <w:rPr>
          <w:rStyle w:val="FootnoteReference"/>
        </w:rPr>
        <w:footnoteRef/>
      </w:r>
      <w:r>
        <w:t xml:space="preserve"> </w:t>
      </w:r>
      <w:r>
        <w:rPr>
          <w:i/>
          <w:iCs/>
        </w:rPr>
        <w:t xml:space="preserve">See supra</w:t>
      </w:r>
      <w:r>
        <w:t xml:space="preserve"> </w:t>
      </w:r>
      <w:r>
        <w:t xml:space="preserve">Section XII (Risks and Limits) (contrasting a review-ready static artifact shipped from a versioned commit, whose pages are fixed at build time and traceable to the named professor the workflow designates as their pre-publication reviewer, with a runtime system whose generated responses leave no such artifact and no such designed reviewer trail).</w:t>
      </w:r>
    </w:p>
  </w:footnote>
  <w:footnote w:id="266">
    <w:p>
      <w:pPr>
        <w:pStyle w:val="FootnoteText"/>
      </w:pPr>
      <w:r>
        <w:rPr>
          <w:rStyle w:val="FootnoteReference"/>
        </w:rPr>
        <w:footnoteRef/>
      </w:r>
      <w:r>
        <w:t xml:space="preserve"> </w:t>
      </w:r>
      <w:r>
        <w:t xml:space="preserve">Ernest L. Boyer, Scholarship Reconsidered: Priorities of the Professoriate (1990) (Carnegie Foundation for the Advancement of Teaching monograph proposing the scholarship of teaching as a distinct, equally rigorous form of scholarly work alongside the scholarships of discovery, integration, and application; the framing the contestation sentence anchors to as Boyer’s account); Susan Sturm &amp; Lani Guinier,</w:t>
      </w:r>
      <w:r>
        <w:t xml:space="preserve"> </w:t>
      </w:r>
      <w:r>
        <w:rPr>
          <w:i/>
          <w:iCs/>
        </w:rPr>
        <w:t xml:space="preserve">The Law School Matrix: Reforming Legal Education in a Culture of Competition and Conformity</w:t>
      </w:r>
      <w:r>
        <w:t xml:space="preserve">, 60 Vand. L. Rev. 515 (2007) (cited to the Vanderbilt Law Review journal form because the convenience copy at the Columbia Law School faculty-scholarship repository, https://scholarship.law.columbia.edu/faculty_scholarship/1502/, carries a “This paper has been withdrawn” notice on the live record; the Columbia URL was confirmed live in this Cite run, and the substantive cite uses the published journal form); Michèle M. Leering,</w:t>
      </w:r>
      <w:r>
        <w:t xml:space="preserve"> </w:t>
      </w:r>
      <w:r>
        <w:rPr>
          <w:i/>
          <w:iCs/>
        </w:rPr>
        <w:t xml:space="preserve">Building a Movement for the Scholarship of Teaching &amp; Learning in Legal Education</w:t>
      </w:r>
      <w:r>
        <w:t xml:space="preserve">, New Legal Realism Project (May 21, 2018), https://newlegalrealism.org/2018/05/21/michele-leering-on-building-a-movement-for-the-scholarship-of-teaching-learning-in-legal-education/ (URL verified live in this Cite run; the New Legal Realism Project post page surfaces the entry under the heading “Michèle Leering on Building a Movement for the Scholarship of Teaching &amp; Learning in Legal Education,” and the operative essay title used here is the substantive title the post heading announces).</w:t>
      </w:r>
    </w:p>
  </w:footnote>
  <w:footnote w:id="267">
    <w:p>
      <w:pPr>
        <w:pStyle w:val="FootnoteText"/>
      </w:pPr>
      <w:r>
        <w:rPr>
          <w:rStyle w:val="FootnoteReference"/>
        </w:rPr>
        <w:footnoteRef/>
      </w:r>
      <w:r>
        <w:t xml:space="preserve"> </w:t>
      </w:r>
      <w:r>
        <w:t xml:space="preserve">Am. Bar Ass’n, Standards and Rules of Procedure for Approval of Law Schools Standard 405 (2025-2026 ed.) (titled “Professional Environment,” located in Chapter 4 (The Faculty); governs the conditions of faculty appointment, academic freedom, and security of position under which scholarly contributions are weighed for promotion and tenure at ABA-approved law schools); the consolidated Standards are published by the ABA Section of Legal Education and Admissions to the Bar at https://www.americanbar.org/groups/legal_education/accreditation/standards/standards-rules/ (last visited May 29, 2026) (URL verified live in this Cite run; the 2025-2026 edition reflects all changes approved by the Section’s Council and concurred in by the ABA House of Delegates through August 2025).</w:t>
      </w:r>
    </w:p>
  </w:footnote>
  <w:footnote w:id="269">
    <w:p>
      <w:pPr>
        <w:pStyle w:val="FootnoteText"/>
      </w:pPr>
      <w:r>
        <w:rPr>
          <w:rStyle w:val="FootnoteReference"/>
        </w:rPr>
        <w:footnoteRef/>
      </w:r>
      <w:r>
        <w:t xml:space="preserve"> </w:t>
      </w:r>
      <w:r>
        <w:rPr>
          <w:i/>
          <w:iCs/>
        </w:rPr>
        <w:t xml:space="preserve">See supra</w:t>
      </w:r>
      <w:r>
        <w:t xml:space="preserve"> </w:t>
      </w:r>
      <w:r>
        <w:t xml:space="preserve">Section X (Generalization Beyond Constitutional Law) (the method, schema, verified-source discipline, and phase rotation transfer across doctrinal courses while the constitutional-law content does not).</w:t>
      </w:r>
    </w:p>
  </w:footnote>
  <w:footnote w:id="270">
    <w:p>
      <w:pPr>
        <w:pStyle w:val="FootnoteText"/>
      </w:pPr>
      <w:r>
        <w:rPr>
          <w:rStyle w:val="FootnoteReference"/>
        </w:rPr>
        <w:footnoteRef/>
      </w:r>
      <w:r>
        <w:t xml:space="preserve"> </w:t>
      </w:r>
      <w:r>
        <w:rPr>
          <w:i/>
          <w:iCs/>
        </w:rPr>
        <w:t xml:space="preserve">See supra</w:t>
      </w:r>
      <w:r>
        <w:t xml:space="preserve"> </w:t>
      </w:r>
      <w:r>
        <w:t xml:space="preserve">Section XII (Risks and Limits) (institutional capacity gap as an access constraint: library, instructional-design, and information-technology stewardship are unevenly distributed across institutions, so the “modest, replicable” framing overstates for under-resourced schools).</w:t>
      </w:r>
    </w:p>
  </w:footnote>
  <w:footnote w:id="271">
    <w:p>
      <w:pPr>
        <w:pStyle w:val="FootnoteText"/>
      </w:pPr>
      <w:r>
        <w:rPr>
          <w:rStyle w:val="FootnoteReference"/>
        </w:rPr>
        <w:footnoteRef/>
      </w:r>
      <w:r>
        <w:t xml:space="preserve"> </w:t>
      </w:r>
      <w:r>
        <w:rPr>
          <w:i/>
          <w:iCs/>
        </w:rPr>
        <w:t xml:space="preserve">See infra</w:t>
      </w:r>
      <w:r>
        <w:t xml:space="preserve"> </w:t>
      </w:r>
      <w:r>
        <w:t xml:space="preserve">Section XIV (Conclusion) (taking up whether the institution extends the adoption invitation).</w:t>
      </w:r>
    </w:p>
  </w:footnote>
  <w:footnote w:id="274">
    <w:p>
      <w:pPr>
        <w:pStyle w:val="FootnoteText"/>
      </w:pPr>
      <w:r>
        <w:rPr>
          <w:rStyle w:val="FootnoteReference"/>
        </w:rPr>
        <w:footnoteRef/>
      </w:r>
      <w:r>
        <w:t xml:space="preserve"> </w:t>
      </w:r>
      <w:r>
        <w:rPr>
          <w:i/>
          <w:iCs/>
        </w:rPr>
        <w:t xml:space="preserve">See supra</w:t>
      </w:r>
      <w:r>
        <w:t xml:space="preserve"> </w:t>
      </w:r>
      <w:r>
        <w:t xml:space="preserve">Section I (Introduction: The Hidden Archive of the Law Professor) (the law professor’s archive of slides, readings, briefs, and packets dispersed across a flat folder structure that stored the material without connecting it).</w:t>
      </w:r>
    </w:p>
  </w:footnote>
  <w:footnote w:id="275">
    <w:p>
      <w:pPr>
        <w:pStyle w:val="FootnoteText"/>
      </w:pPr>
      <w:r>
        <w:rPr>
          <w:rStyle w:val="FootnoteReference"/>
        </w:rPr>
        <w:footnoteRef/>
      </w:r>
      <w:r>
        <w:t xml:space="preserve"> </w:t>
      </w:r>
      <w:r>
        <w:rPr>
          <w:i/>
          <w:iCs/>
        </w:rPr>
        <w:t xml:space="preserve">See supra</w:t>
      </w:r>
      <w:r>
        <w:t xml:space="preserve"> </w:t>
      </w:r>
      <w:r>
        <w:t xml:space="preserve">Section X (Generalization Beyond Constitutional Law) (the contribution is the replicable method rather than the constitutional-law artifact, a method other doctrinal courses with comparable case-and-doctrine archives can adapt).</w:t>
      </w:r>
    </w:p>
  </w:footnote>
  <w:footnote w:id="277">
    <w:p>
      <w:pPr>
        <w:pStyle w:val="FootnoteText"/>
      </w:pPr>
      <w:r>
        <w:rPr>
          <w:rStyle w:val="FootnoteReference"/>
        </w:rPr>
        <w:footnoteRef/>
      </w:r>
      <w:r>
        <w:t xml:space="preserve"> </w:t>
      </w:r>
      <w:r>
        <w:rPr>
          <w:i/>
          <w:iCs/>
        </w:rPr>
        <w:t xml:space="preserve">See supra</w:t>
      </w:r>
      <w:r>
        <w:t xml:space="preserve"> </w:t>
      </w:r>
      <w:r>
        <w:t xml:space="preserve">Section VII.B (One phase per tick: the rotation as the loop) (enumerating the six phases as Ingest, Lint, Enrich, Expand, Synthesize, and Verify and describing the one-phase-per-tick execution discipline);</w:t>
      </w:r>
      <w:r>
        <w:t xml:space="preserve"> </w:t>
      </w:r>
      <w:r>
        <w:rPr>
          <w:i/>
          <w:iCs/>
        </w:rPr>
        <w:t xml:space="preserve">see also supra</w:t>
      </w:r>
      <w:r>
        <w:t xml:space="preserve"> </w:t>
      </w:r>
      <w:r>
        <w:t xml:space="preserve">Sections VII.C (the forced-finding Verify pass) and VII.D (loop memory as durable record).</w:t>
      </w:r>
    </w:p>
  </w:footnote>
  <w:footnote w:id="278">
    <w:p>
      <w:pPr>
        <w:pStyle w:val="FootnoteText"/>
      </w:pPr>
      <w:r>
        <w:rPr>
          <w:rStyle w:val="FootnoteReference"/>
        </w:rPr>
        <w:footnoteRef/>
      </w:r>
      <w:r>
        <w:t xml:space="preserve"> </w:t>
      </w:r>
      <w:r>
        <w:rPr>
          <w:i/>
          <w:iCs/>
        </w:rPr>
        <w:t xml:space="preserve">See supra</w:t>
      </w:r>
      <w:r>
        <w:t xml:space="preserve"> </w:t>
      </w:r>
      <w:r>
        <w:t xml:space="preserve">Section XI (Evaluation: What Would Count as Success) (the article declines to claim that students learned more because it did not run the controlled study that would license the claim).</w:t>
      </w:r>
    </w:p>
  </w:footnote>
  <w:footnote w:id="279">
    <w:p>
      <w:pPr>
        <w:pStyle w:val="FootnoteText"/>
      </w:pPr>
      <w:r>
        <w:rPr>
          <w:rStyle w:val="FootnoteReference"/>
        </w:rPr>
        <w:footnoteRef/>
      </w:r>
      <w:r>
        <w:t xml:space="preserve"> </w:t>
      </w:r>
      <w:r>
        <w:rPr>
          <w:i/>
          <w:iCs/>
        </w:rPr>
        <w:t xml:space="preserve">See supra</w:t>
      </w:r>
      <w:r>
        <w:t xml:space="preserve"> </w:t>
      </w:r>
      <w:r>
        <w:t xml:space="preserve">Section X (Generalization Beyond Constitutional Law) (treating constitutional law as one well-suited base case rather than as proof that every doctrinal course transfers cleanly).</w:t>
      </w:r>
    </w:p>
  </w:footnote>
  <w:footnote w:id="280">
    <w:p>
      <w:pPr>
        <w:pStyle w:val="FootnoteText"/>
      </w:pPr>
      <w:r>
        <w:rPr>
          <w:rStyle w:val="FootnoteReference"/>
        </w:rPr>
        <w:footnoteRef/>
      </w:r>
      <w:r>
        <w:t xml:space="preserve"> </w:t>
      </w:r>
      <w:r>
        <w:rPr>
          <w:i/>
          <w:iCs/>
        </w:rPr>
        <w:t xml:space="preserve">See supra</w:t>
      </w:r>
      <w:r>
        <w:t xml:space="preserve"> </w:t>
      </w:r>
      <w:r>
        <w:t xml:space="preserve">Section XII (Risks and Limits) (the case study is a review-ready static website whose risk surface sits at a build-time professorial-review checkpoint the architecture enables rather than at runtime generation, not a chatbot).</w:t>
      </w:r>
    </w:p>
  </w:footnote>
  <w:footnote w:id="282">
    <w:p>
      <w:pPr>
        <w:pStyle w:val="FootnoteText"/>
      </w:pPr>
      <w:r>
        <w:rPr>
          <w:rStyle w:val="FootnoteReference"/>
        </w:rPr>
        <w:footnoteRef/>
      </w:r>
      <w:r>
        <w:t xml:space="preserve"> </w:t>
      </w:r>
      <w:r>
        <w:rPr>
          <w:i/>
          <w:iCs/>
        </w:rPr>
        <w:t xml:space="preserve">See supra</w:t>
      </w:r>
      <w:r>
        <w:t xml:space="preserve"> </w:t>
      </w:r>
      <w:r>
        <w:t xml:space="preserve">Section XIII (Institutional Implications) (the method-first, opt-in adoption invitation, under which a faculty member adopts the typed schema, the verified-source discipline, the professorial gating, and the iterative loop rather than the constitutional-law artifact).</w:t>
      </w:r>
    </w:p>
  </w:footnote>
  <w:footnote w:id="283">
    <w:p>
      <w:pPr>
        <w:pStyle w:val="FootnoteText"/>
      </w:pPr>
      <w:r>
        <w:rPr>
          <w:rStyle w:val="FootnoteReference"/>
        </w:rPr>
        <w:footnoteRef/>
      </w:r>
      <w:r>
        <w:t xml:space="preserve"> </w:t>
      </w:r>
      <w:r>
        <w:rPr>
          <w:i/>
          <w:iCs/>
        </w:rPr>
        <w:t xml:space="preserve">See supra</w:t>
      </w:r>
      <w:r>
        <w:t xml:space="preserve"> </w:t>
      </w:r>
      <w:r>
        <w:t xml:space="preserve">Section X (Generalization Beyond Constitutional Law) (the generalization claim a second instance would test);</w:t>
      </w:r>
      <w:r>
        <w:t xml:space="preserve"> </w:t>
      </w:r>
      <w:r>
        <w:rPr>
          <w:i/>
          <w:iCs/>
        </w:rPr>
        <w:t xml:space="preserve">see supra</w:t>
      </w:r>
      <w:r>
        <w:t xml:space="preserve"> </w:t>
      </w:r>
      <w:r>
        <w:t xml:space="preserve">Section XI (Evaluation: What Would Count as Success) (the evaluation plan a second instance would apply to measure outcomes).</w:t>
      </w:r>
    </w:p>
  </w:footnote>
  <w:footnote w:id="284">
    <w:p>
      <w:pPr>
        <w:pStyle w:val="FootnoteText"/>
      </w:pPr>
      <w:r>
        <w:rPr>
          <w:rStyle w:val="FootnoteReference"/>
        </w:rPr>
        <w:footnoteRef/>
      </w:r>
      <w:r>
        <w:t xml:space="preserve"> </w:t>
      </w:r>
      <w:r>
        <w:rPr>
          <w:i/>
          <w:iCs/>
        </w:rPr>
        <w:t xml:space="preserve">See supra</w:t>
      </w:r>
      <w:r>
        <w:t xml:space="preserve"> </w:t>
      </w:r>
      <w:r>
        <w:t xml:space="preserve">Section V (Building the Obsidian Vault) (the typed note schemas the case study produced);</w:t>
      </w:r>
      <w:r>
        <w:t xml:space="preserve"> </w:t>
      </w:r>
      <w:r>
        <w:rPr>
          <w:i/>
          <w:iCs/>
        </w:rPr>
        <w:t xml:space="preserve">see supra</w:t>
      </w:r>
      <w:r>
        <w:t xml:space="preserve"> </w:t>
      </w:r>
      <w:r>
        <w:t xml:space="preserve">Section VI (Prompting as Pedagogical Design) (the prompt library the case study produced);</w:t>
      </w:r>
      <w:r>
        <w:t xml:space="preserve"> </w:t>
      </w:r>
      <w:r>
        <w:rPr>
          <w:i/>
          <w:iCs/>
        </w:rPr>
        <w:t xml:space="preserve">see supra</w:t>
      </w:r>
      <w:r>
        <w:t xml:space="preserve"> </w:t>
      </w:r>
      <w:r>
        <w:t xml:space="preserve">Section VII (Iterative Improvement Under Professorial Control) (the per-phase rubrics the case study produced);</w:t>
      </w:r>
      <w:r>
        <w:t xml:space="preserve"> </w:t>
      </w:r>
      <w:r>
        <w:rPr>
          <w:i/>
          <w:iCs/>
        </w:rPr>
        <w:t xml:space="preserve">see supra</w:t>
      </w:r>
      <w:r>
        <w:t xml:space="preserve"> </w:t>
      </w:r>
      <w:r>
        <w:t xml:space="preserve">Section IX (Cost and Labor: The Honest Accounting) (the cost log the case study produced).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Casebook to Course Knowledge System: AI-Assisted Synthesis and Obsidian</dc:title>
  <dc:creator>[Author name and affiliation — to be supplied]</dc:creator>
  <cp:keywords/>
  <dcterms:created xsi:type="dcterms:W3CDTF">2026-05-31T04:29:02Z</dcterms:created>
  <dcterms:modified xsi:type="dcterms:W3CDTF">2026-05-31T04:29:02Z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30, 2026</vt:lpwstr>
  </property>
  <property fmtid="{D5CDD505-2E9C-101B-9397-08002B2CF9AE}" pid="3" name="subtitle">
    <vt:lpwstr>Draft for review — prepared for submission to the Journal of Legal Education (Bluebook 21st ed.)</vt:lpwstr>
  </property>
</Properties>
</file>