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Supporting Appendices A–F</w:t>
      </w:r>
    </w:p>
    <w:p>
      <w:pPr>
        <w:pStyle w:val="Subtitle"/>
      </w:pPr>
      <w:r>
        <w:t xml:space="preserve">Companion exhibits to the course-knowledge-system article</w:t>
      </w:r>
    </w:p>
    <w:p>
      <w:pPr>
        <w:pStyle w:val="Date"/>
      </w:pPr>
      <w:r>
        <w:t xml:space="preserve">May 30, 2026</w:t>
      </w:r>
    </w:p>
    <w:bookmarkStart w:id="13" w:name="appendix-a.-input-inventory"/>
    <w:p>
      <w:pPr>
        <w:pStyle w:val="Heading1"/>
      </w:pPr>
      <w:r>
        <w:t xml:space="preserve">Appendix A. Input Inventory</w:t>
      </w:r>
    </w:p>
    <w:bookmarkStart w:id="9" w:name="appendix-a-input-inventory"/>
    <w:p>
      <w:pPr>
        <w:pStyle w:val="Heading2"/>
      </w:pPr>
      <w:r>
        <w:t xml:space="preserve">Appendix A: Input Inventory</w:t>
      </w:r>
    </w:p>
    <w:p>
      <w:pPr>
        <w:pStyle w:val="FirstParagraph"/>
      </w:pPr>
      <w:r>
        <w:t xml:space="preserve">This appendix inventories the corpus the system ingested. All counts come from a filesystem audit of the Canvas LMS export taken on 2026-05-15 and recorded in the Section IV and V evidence cards; the headline 61/66 figure is corroborated by</w:t>
      </w:r>
      <w:r>
        <w:t xml:space="preserve"> </w:t>
      </w:r>
      <w:r>
        <w:rPr>
          <w:rStyle w:val="VerbatimChar"/>
        </w:rPr>
        <w:t xml:space="preserve">Article-Workplan.md</w:t>
      </w:r>
      <w:r>
        <w:t xml:space="preserve">. The course is Professor Chandler’s Constitutional Law I (Spring 2026), whose syllabus covers the structural constitution.</w:t>
      </w:r>
    </w:p>
    <w:bookmarkEnd w:id="9"/>
    <w:bookmarkStart w:id="10" w:name="a.1-source-materials-provided"/>
    <w:p>
      <w:pPr>
        <w:pStyle w:val="Heading2"/>
      </w:pPr>
      <w:r>
        <w:t xml:space="preserve">A.1 Source Materials Provided</w:t>
      </w:r>
    </w:p>
    <w:p>
      <w:pPr>
        <w:pStyle w:val="FirstParagraph"/>
      </w:pPr>
      <w:r>
        <w:t xml:space="preserve">The export arrived as a flat folder. At the top level it held 61 PowerPoint decks (.pptx) and 66 reading PDFs, the 127 slide-and-reading files the flat structure exposed first, plus 3 .docx, one .txt, and one .potx template. Counting every subfolder, the export totals 388 files, with no organization beyond filenames.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Location</w:t>
            </w:r>
          </w:p>
        </w:tc>
        <w:tc>
          <w:tcPr/>
          <w:p>
            <w:pPr>
              <w:pStyle w:val="Compact"/>
            </w:pPr>
            <w:r>
              <w:t xml:space="preserve">Category</w:t>
            </w:r>
          </w:p>
        </w:tc>
        <w:tc>
          <w:tcPr/>
          <w:p>
            <w:pPr>
              <w:pStyle w:val="Compact"/>
              <w:jc w:val="right"/>
            </w:pPr>
            <w:r>
              <w:t xml:space="preserve">Count</w:t>
            </w:r>
          </w:p>
        </w:tc>
      </w:tr>
      <w:tr>
        <w:tc>
          <w:tcPr/>
          <w:p>
            <w:pPr>
              <w:pStyle w:val="Compact"/>
            </w:pPr>
            <w:r>
              <w:t xml:space="preserve">Top level</w:t>
            </w:r>
          </w:p>
        </w:tc>
        <w:tc>
          <w:tcPr/>
          <w:p>
            <w:pPr>
              <w:pStyle w:val="Compact"/>
            </w:pPr>
            <w:r>
              <w:t xml:space="preserve">PowerPoint decks (.pptx)</w:t>
            </w:r>
          </w:p>
        </w:tc>
        <w:tc>
          <w:tcPr/>
          <w:p>
            <w:pPr>
              <w:pStyle w:val="Compact"/>
              <w:jc w:val="right"/>
            </w:pPr>
            <w:r>
              <w:t xml:space="preserve">61</w:t>
            </w:r>
          </w:p>
        </w:tc>
      </w:tr>
      <w:tr>
        <w:tc>
          <w:tcPr/>
          <w:p>
            <w:pPr>
              <w:pStyle w:val="Compact"/>
            </w:pPr>
            <w:r>
              <w:t xml:space="preserve">Top level</w:t>
            </w:r>
          </w:p>
        </w:tc>
        <w:tc>
          <w:tcPr/>
          <w:p>
            <w:pPr>
              <w:pStyle w:val="Compact"/>
            </w:pPr>
            <w:r>
              <w:t xml:space="preserve">Reading PDFs (.pdf)</w:t>
            </w:r>
          </w:p>
        </w:tc>
        <w:tc>
          <w:tcPr/>
          <w:p>
            <w:pPr>
              <w:pStyle w:val="Compact"/>
              <w:jc w:val="right"/>
            </w:pPr>
            <w:r>
              <w:t xml:space="preserve">66</w:t>
            </w:r>
          </w:p>
        </w:tc>
      </w:tr>
      <w:tr>
        <w:tc>
          <w:tcPr/>
          <w:p>
            <w:pPr>
              <w:pStyle w:val="Compact"/>
            </w:pPr>
            <w:r>
              <w:t xml:space="preserve">Top level</w:t>
            </w:r>
          </w:p>
        </w:tc>
        <w:tc>
          <w:tcPr/>
          <w:p>
            <w:pPr>
              <w:pStyle w:val="Compact"/>
            </w:pPr>
            <w:r>
              <w:t xml:space="preserve">Word documents (.docx)</w:t>
            </w:r>
          </w:p>
        </w:tc>
        <w:tc>
          <w:tcPr/>
          <w:p>
            <w:pPr>
              <w:pStyle w:val="Compact"/>
              <w:jc w:val="right"/>
            </w:pPr>
            <w:r>
              <w:t xml:space="preserve">3</w:t>
            </w:r>
          </w:p>
        </w:tc>
      </w:tr>
      <w:tr>
        <w:tc>
          <w:tcPr/>
          <w:p>
            <w:pPr>
              <w:pStyle w:val="Compact"/>
            </w:pPr>
            <w:r>
              <w:t xml:space="preserve">Top level</w:t>
            </w:r>
          </w:p>
        </w:tc>
        <w:tc>
          <w:tcPr/>
          <w:p>
            <w:pPr>
              <w:pStyle w:val="Compact"/>
            </w:pPr>
            <w:r>
              <w:t xml:space="preserve">Other (.txt, .potx)</w:t>
            </w:r>
          </w:p>
        </w:tc>
        <w:tc>
          <w:tcPr/>
          <w:p>
            <w:pPr>
              <w:pStyle w:val="Compact"/>
              <w:jc w:val="right"/>
            </w:pPr>
            <w:r>
              <w:t xml:space="preserve">2</w:t>
            </w:r>
          </w:p>
        </w:tc>
      </w:tr>
      <w:tr>
        <w:tc>
          <w:tcPr/>
          <w:p>
            <w:pPr>
              <w:pStyle w:val="Compact"/>
            </w:pPr>
            <w:r>
              <w:t xml:space="preserve">Uploaded Media/</w:t>
            </w:r>
          </w:p>
        </w:tc>
        <w:tc>
          <w:tcPr/>
          <w:p>
            <w:pPr>
              <w:pStyle w:val="Compact"/>
            </w:pPr>
            <w:r>
              <w:t xml:space="preserve">Individual case-opinion PDFs</w:t>
            </w:r>
          </w:p>
        </w:tc>
        <w:tc>
          <w:tcPr/>
          <w:p>
            <w:pPr>
              <w:pStyle w:val="Compact"/>
              <w:jc w:val="right"/>
            </w:pPr>
            <w:r>
              <w:t xml:space="preserve">135</w:t>
            </w:r>
          </w:p>
        </w:tc>
      </w:tr>
      <w:tr>
        <w:tc>
          <w:tcPr/>
          <w:p>
            <w:pPr>
              <w:pStyle w:val="Compact"/>
            </w:pPr>
            <w:r>
              <w:t xml:space="preserve">Uploaded Media/</w:t>
            </w:r>
          </w:p>
        </w:tc>
        <w:tc>
          <w:tcPr/>
          <w:p>
            <w:pPr>
              <w:pStyle w:val="Compact"/>
            </w:pPr>
            <w:r>
              <w:t xml:space="preserve">Merged reading packets (</w:t>
            </w:r>
            <w:r>
              <w:rPr>
                <w:rStyle w:val="VerbatimChar"/>
              </w:rPr>
              <w:t xml:space="preserve">merged-*.pdf</w:t>
            </w:r>
            <w:r>
              <w:t xml:space="preserve">)</w:t>
            </w:r>
          </w:p>
        </w:tc>
        <w:tc>
          <w:tcPr/>
          <w:p>
            <w:pPr>
              <w:pStyle w:val="Compact"/>
              <w:jc w:val="right"/>
            </w:pPr>
            <w:r>
              <w:t xml:space="preserve">12</w:t>
            </w:r>
          </w:p>
        </w:tc>
      </w:tr>
      <w:tr>
        <w:tc>
          <w:tcPr/>
          <w:p>
            <w:pPr>
              <w:pStyle w:val="Compact"/>
            </w:pPr>
            <w:r>
              <w:t xml:space="preserve">resources/</w:t>
            </w:r>
          </w:p>
        </w:tc>
        <w:tc>
          <w:tcPr/>
          <w:p>
            <w:pPr>
              <w:pStyle w:val="Compact"/>
            </w:pPr>
            <w:r>
              <w:t xml:space="preserve">Exported LMS HTML files</w:t>
            </w:r>
          </w:p>
        </w:tc>
        <w:tc>
          <w:tcPr/>
          <w:p>
            <w:pPr>
              <w:pStyle w:val="Compact"/>
              <w:jc w:val="right"/>
            </w:pPr>
            <w:r>
              <w:t xml:space="preserve">81</w:t>
            </w:r>
          </w:p>
        </w:tc>
      </w:tr>
      <w:tr>
        <w:tc>
          <w:tcPr/>
          <w:p>
            <w:pPr>
              <w:pStyle w:val="Compact"/>
            </w:pPr>
            <w:r>
              <w:t xml:space="preserve">unfiled/</w:t>
            </w:r>
          </w:p>
        </w:tc>
        <w:tc>
          <w:tcPr/>
          <w:p>
            <w:pPr>
              <w:pStyle w:val="Compact"/>
            </w:pPr>
            <w:r>
              <w:t xml:space="preserve">Stray files (</w:t>
            </w:r>
            <w:r>
              <w:rPr>
                <w:rStyle w:val="VerbatimChar"/>
              </w:rPr>
              <w:t xml:space="preserve">Midterm_Rubric.pdf</w:t>
            </w:r>
            <w:r>
              <w:t xml:space="preserve">)</w:t>
            </w:r>
          </w:p>
        </w:tc>
        <w:tc>
          <w:tcPr/>
          <w:p>
            <w:pPr>
              <w:pStyle w:val="Compact"/>
              <w:jc w:val="right"/>
            </w:pPr>
            <w:r>
              <w:t xml:space="preserve">1</w:t>
            </w:r>
          </w:p>
        </w:tc>
      </w:tr>
      <w:tr>
        <w:tc>
          <w:tcPr/>
          <w:p>
            <w:pPr>
              <w:pStyle w:val="Compact"/>
            </w:pPr>
            <w:r>
              <w:t xml:space="preserve">All subfolders</w:t>
            </w:r>
          </w:p>
        </w:tc>
        <w:tc>
          <w:tcPr/>
          <w:p>
            <w:pPr>
              <w:pStyle w:val="Compact"/>
            </w:pPr>
            <w:r>
              <w:t xml:space="preserve">Total</w:t>
            </w:r>
          </w:p>
        </w:tc>
        <w:tc>
          <w:tcPr/>
          <w:p>
            <w:pPr>
              <w:pStyle w:val="Compact"/>
              <w:jc w:val="right"/>
            </w:pPr>
            <w:r>
              <w:t xml:space="preserve">388</w:t>
            </w:r>
          </w:p>
        </w:tc>
      </w:tr>
    </w:tbl>
    <w:p>
      <w:pPr>
        <w:pStyle w:val="BodyText"/>
      </w:pPr>
      <w:r>
        <w:t xml:space="preserve">Assessment artifacts. Four files encode professorial judgment about what counts as a complete answer:</w:t>
      </w:r>
      <w:r>
        <w:t xml:space="preserve"> </w:t>
      </w:r>
      <w:r>
        <w:rPr>
          <w:rStyle w:val="VerbatimChar"/>
        </w:rPr>
        <w:t xml:space="preserve">Final Exam Constitutional Law Fall 2023.pdf</w:t>
      </w:r>
      <w:r>
        <w:t xml:space="preserve">,</w:t>
      </w:r>
      <w:r>
        <w:t xml:space="preserve"> </w:t>
      </w:r>
      <w:r>
        <w:rPr>
          <w:rStyle w:val="VerbatimChar"/>
        </w:rPr>
        <w:t xml:space="preserve">Constitutional Law Final Exam Spring 2025 (Reduced).pdf</w:t>
      </w:r>
      <w:r>
        <w:t xml:space="preserve">,</w:t>
      </w:r>
      <w:r>
        <w:t xml:space="preserve"> </w:t>
      </w:r>
      <w:r>
        <w:rPr>
          <w:rStyle w:val="VerbatimChar"/>
        </w:rPr>
        <w:t xml:space="preserve">TEFA_Exam_Question.docx.pdf</w:t>
      </w:r>
      <w:r>
        <w:t xml:space="preserve">, and</w:t>
      </w:r>
      <w:r>
        <w:t xml:space="preserve"> </w:t>
      </w:r>
      <w:r>
        <w:rPr>
          <w:rStyle w:val="VerbatimChar"/>
        </w:rPr>
        <w:t xml:space="preserve">Midterm_Rubric.pdf</w:t>
      </w:r>
      <w:r>
        <w:t xml:space="preserve">.</w:t>
      </w:r>
    </w:p>
    <w:p>
      <w:pPr>
        <w:pStyle w:val="BodyText"/>
      </w:pPr>
      <w:r>
        <w:t xml:space="preserve">Modernized opinions. Thirty-seven files carry a</w:t>
      </w:r>
      <w:r>
        <w:t xml:space="preserve"> </w:t>
      </w:r>
      <w:r>
        <w:rPr>
          <w:rStyle w:val="VerbatimChar"/>
        </w:rPr>
        <w:t xml:space="preserve">modernized</w:t>
      </w:r>
      <w:r>
        <w:t xml:space="preserve"> </w:t>
      </w:r>
      <w:r>
        <w:t xml:space="preserve">tag (for example,</w:t>
      </w:r>
      <w:r>
        <w:t xml:space="preserve"> </w:t>
      </w:r>
      <w:r>
        <w:rPr>
          <w:rStyle w:val="VerbatimChar"/>
        </w:rPr>
        <w:t xml:space="preserve">mcculloch_modernized.pdf</w:t>
      </w:r>
      <w:r>
        <w:t xml:space="preserve"> </w:t>
      </w:r>
      <w:r>
        <w:t xml:space="preserve">and</w:t>
      </w:r>
      <w:r>
        <w:t xml:space="preserve"> </w:t>
      </w:r>
      <w:r>
        <w:rPr>
          <w:rStyle w:val="VerbatimChar"/>
        </w:rPr>
        <w:t xml:space="preserve">youngstown-modernized.pdf</w:t>
      </w:r>
      <w:r>
        <w:t xml:space="preserve">): professor-edited versions that update archaic phrasing for student readers. These are the most pedagogically useful and the most error-prone intake type, because a silent edit can drift from the indexed opinion (see Section VII and Appendix D).</w:t>
      </w:r>
    </w:p>
    <w:bookmarkEnd w:id="10"/>
    <w:bookmarkStart w:id="11" w:name="a.2-categories-intentionally-excluded"/>
    <w:p>
      <w:pPr>
        <w:pStyle w:val="Heading2"/>
      </w:pPr>
      <w:r>
        <w:t xml:space="preserve">A.2 Categories Intentionally Excluded</w:t>
      </w:r>
    </w:p>
    <w:p>
      <w:pPr>
        <w:pStyle w:val="Compact"/>
        <w:numPr>
          <w:ilvl w:val="0"/>
          <w:numId w:val="1001"/>
        </w:numPr>
      </w:pPr>
      <w:r>
        <w:t xml:space="preserve">Copyrighted casebook excerpts (per the professor’s IP review).</w:t>
      </w:r>
    </w:p>
    <w:p>
      <w:pPr>
        <w:pStyle w:val="Compact"/>
        <w:numPr>
          <w:ilvl w:val="0"/>
          <w:numId w:val="1001"/>
        </w:numPr>
      </w:pPr>
      <w:r>
        <w:t xml:space="preserve">Student work product (privacy).</w:t>
      </w:r>
    </w:p>
    <w:p>
      <w:pPr>
        <w:pStyle w:val="Compact"/>
        <w:numPr>
          <w:ilvl w:val="0"/>
          <w:numId w:val="1001"/>
        </w:numPr>
      </w:pPr>
      <w:r>
        <w:t xml:space="preserve">Office-hours notes (privacy).</w:t>
      </w:r>
    </w:p>
    <w:p>
      <w:pPr>
        <w:pStyle w:val="Compact"/>
        <w:numPr>
          <w:ilvl w:val="0"/>
          <w:numId w:val="1001"/>
        </w:numPr>
      </w:pPr>
      <w:r>
        <w:t xml:space="preserve">Anything that would require a separate IRB review.</w:t>
      </w:r>
    </w:p>
    <w:p>
      <w:pPr>
        <w:pStyle w:val="FirstParagraph"/>
      </w:pPr>
      <w:r>
        <w:t xml:space="preserve">Absent by inheritance, not by choice. Ten foundational Supreme Court opinions have vault briefs but no source file on disk, because students read them in the assigned casebook rather than from a course-issued PDF: Cohens v Virginia (1821), United States v Cruikshank (1876), Wickard v Filburn (1942), Adamson v California (1947), Baker v Carr (1962), USDA v Moreno (1973), South Dakota v Dole (1987), United States v Lopez (1995), United States v Morrison (2000), and Hamdi v Rumsfeld (2004). The corpus is bounded by what the LMS captured, not by what the syllabus assigned.</w:t>
      </w:r>
    </w:p>
    <w:bookmarkEnd w:id="11"/>
    <w:bookmarkStart w:id="12" w:name="a.3-source-material-conventions"/>
    <w:p>
      <w:pPr>
        <w:pStyle w:val="Heading2"/>
      </w:pPr>
      <w:r>
        <w:t xml:space="preserve">A.3 Source Material Conventions</w:t>
      </w:r>
    </w:p>
    <w:p>
      <w:pPr>
        <w:pStyle w:val="FirstParagraph"/>
      </w:pPr>
      <w:r>
        <w:t xml:space="preserve">Intake naming. The export enforced no filename convention; hyphens, underscores, spaces, parenthetical years, and mixed case appear in arbitrary combinations within one folder. The vault imposes a three-way invariant on intake: the filename stem, the H1, and the frontmatter name field must agree, with no periods (“v Madison,” not “v. Madison”) and “and” rather than the ampersand.</w:t>
      </w:r>
    </w:p>
    <w:p>
      <w:pPr>
        <w:pStyle w:val="BodyText"/>
      </w:pPr>
      <w:r>
        <w:t xml:space="preserve">Categorization. Each ingested file is typed into one of three content folders (</w:t>
      </w:r>
      <w:r>
        <w:rPr>
          <w:rStyle w:val="VerbatimChar"/>
        </w:rPr>
        <w:t xml:space="preserve">Cases/</w:t>
      </w:r>
      <w:r>
        <w:t xml:space="preserve">,</w:t>
      </w:r>
      <w:r>
        <w:t xml:space="preserve"> </w:t>
      </w:r>
      <w:r>
        <w:rPr>
          <w:rStyle w:val="VerbatimChar"/>
        </w:rPr>
        <w:t xml:space="preserve">Topics/</w:t>
      </w:r>
      <w:r>
        <w:t xml:space="preserve">,</w:t>
      </w:r>
      <w:r>
        <w:t xml:space="preserve"> </w:t>
      </w:r>
      <w:r>
        <w:rPr>
          <w:rStyle w:val="VerbatimChar"/>
        </w:rPr>
        <w:t xml:space="preserve">Lectures/</w:t>
      </w:r>
      <w:r>
        <w:t xml:space="preserve">), each backed by a</w:t>
      </w:r>
      <w:r>
        <w:t xml:space="preserve"> </w:t>
      </w:r>
      <w:r>
        <w:rPr>
          <w:rStyle w:val="VerbatimChar"/>
        </w:rPr>
        <w:t xml:space="preserve">Templates/*.md</w:t>
      </w:r>
      <w:r>
        <w:t xml:space="preserve"> </w:t>
      </w:r>
      <w:r>
        <w:t xml:space="preserve">schema. The Case Brief template carries roughly 30 frontmatter fields; its</w:t>
      </w:r>
      <w:r>
        <w:t xml:space="preserve"> </w:t>
      </w:r>
      <w:r>
        <w:rPr>
          <w:rStyle w:val="VerbatimChar"/>
        </w:rPr>
        <w:t xml:space="preserve">source_files</w:t>
      </w:r>
      <w:r>
        <w:t xml:space="preserve"> </w:t>
      </w:r>
      <w:r>
        <w:t xml:space="preserve">field records provenance back to the originating Source Materials filename or the Midpage</w:t>
      </w:r>
      <w:r>
        <w:t xml:space="preserve"> </w:t>
      </w:r>
      <w:r>
        <w:rPr>
          <w:rStyle w:val="VerbatimChar"/>
        </w:rPr>
        <w:t xml:space="preserve">analyzeOpinion</w:t>
      </w:r>
      <w:r>
        <w:t xml:space="preserve"> </w:t>
      </w:r>
      <w:r>
        <w:t xml:space="preserve">opinion ID.</w:t>
      </w:r>
    </w:p>
    <w:p>
      <w:pPr>
        <w:pStyle w:val="BodyText"/>
      </w:pPr>
      <w:r>
        <w:t xml:space="preserve">Cross-reference: this appendix is referenced by Sections IV (input corpus) and V (Obsidian vault).</w:t>
      </w:r>
    </w:p>
    <w:bookmarkEnd w:id="12"/>
    <w:bookmarkEnd w:id="13"/>
    <w:bookmarkStart w:id="20" w:name="X1e05b7784aada9149914c3640f18d1954493dd0"/>
    <w:p>
      <w:pPr>
        <w:pStyle w:val="Heading1"/>
      </w:pPr>
      <w:r>
        <w:t xml:space="preserve">Appendix B. AI Tooling — Prompts, Skills, and Plugins</w:t>
      </w:r>
    </w:p>
    <w:bookmarkStart w:id="14" w:name="Xa583d412dee57eb2e2e63743702657321bfa5e5"/>
    <w:p>
      <w:pPr>
        <w:pStyle w:val="Heading2"/>
      </w:pPr>
      <w:r>
        <w:t xml:space="preserve">Appendix B: AI Tooling — Prompts, Skills, and Plugins</w:t>
      </w:r>
    </w:p>
    <w:p>
      <w:pPr>
        <w:pStyle w:val="FirstParagraph"/>
      </w:pPr>
      <w:r>
        <w:t xml:space="preserve">This appendix is reference material, not argument. It documents the prompts, skills, and connectors used to build the Constitutional Law vault and to write this paper. Every entry is labeled [vault], [article], or [both], and carries a provenance pointer. The recursion is intentional: this appendix documents the tooling that includes the harvest-appendix sub-task that wrote it.</w:t>
      </w:r>
    </w:p>
    <w:bookmarkEnd w:id="14"/>
    <w:bookmarkStart w:id="17" w:name="b.1-prompts"/>
    <w:p>
      <w:pPr>
        <w:pStyle w:val="Heading2"/>
      </w:pPr>
      <w:r>
        <w:t xml:space="preserve">B.1 Prompts</w:t>
      </w:r>
    </w:p>
    <w:bookmarkStart w:id="15" w:name="Xee0b07f5edac723c36d856a2e1ae4c514d7f572"/>
    <w:p>
      <w:pPr>
        <w:pStyle w:val="Heading3"/>
      </w:pPr>
      <w:r>
        <w:t xml:space="preserve">B.1.a Vault construction prompts (six-phase rotation) [vault]</w:t>
      </w:r>
    </w:p>
    <w:p>
      <w:pPr>
        <w:pStyle w:val="FirstParagraph"/>
      </w:pPr>
      <w:r>
        <w:t xml:space="preserve">The vault runs one phase per scheduled tick through a fixed rotation. Each phase has a procedure in the vault RUNBOOK and a separate scoring rubric.</w:t>
      </w:r>
    </w:p>
    <w:p>
      <w:pPr>
        <w:pStyle w:val="BlockText"/>
      </w:pPr>
      <w:r>
        <w:t xml:space="preserve">Ingest -&gt; Lint -&gt; Enrich -&gt; Expand -&gt; Synthesize -&gt; Verify -&gt; repeat</w:t>
      </w:r>
      <w:r>
        <w:t xml:space="preserve"> </w:t>
      </w:r>
      <w:r>
        <w:t xml:space="preserve">(provenance: PROJECT_PRIMER, via evidence-07-six-phase-rotation)</w:t>
      </w:r>
    </w:p>
    <w:tbl>
      <w:tblPr>
        <w:tblStyle w:val="Table"/>
        <w:tblW w:type="pct" w:w="5000"/>
        <w:tblLayout w:type="fixed"/>
        <w:tblLook w:firstRow="1" w:lastRow="0" w:firstColumn="0" w:lastColumn="0" w:noHBand="0" w:noVBand="0" w:val="0020"/>
      </w:tblPr>
      <w:tblGrid>
        <w:gridCol w:w="1155"/>
        <w:gridCol w:w="2145"/>
        <w:gridCol w:w="4620"/>
      </w:tblGrid>
      <w:tr>
        <w:trPr>
          <w:tblHeader w:val="on"/>
        </w:trPr>
        <w:tc>
          <w:tcPr/>
          <w:p>
            <w:pPr>
              <w:pStyle w:val="Compact"/>
            </w:pPr>
            <w:r>
              <w:t xml:space="preserve">Phase</w:t>
            </w:r>
          </w:p>
        </w:tc>
        <w:tc>
          <w:tcPr/>
          <w:p>
            <w:pPr>
              <w:pStyle w:val="Compact"/>
            </w:pPr>
            <w:r>
              <w:t xml:space="preserve">Prompt does</w:t>
            </w:r>
          </w:p>
        </w:tc>
        <w:tc>
          <w:tcPr/>
          <w:p>
            <w:pPr>
              <w:pStyle w:val="Compact"/>
            </w:pPr>
            <w:r>
              <w:t xml:space="preserve">Provenance (evidence card)</w:t>
            </w:r>
          </w:p>
        </w:tc>
      </w:tr>
      <w:tr>
        <w:tc>
          <w:tcPr/>
          <w:p>
            <w:pPr>
              <w:pStyle w:val="Compact"/>
            </w:pPr>
            <w:r>
              <w:t xml:space="preserve">Ingest</w:t>
            </w:r>
          </w:p>
        </w:tc>
        <w:tc>
          <w:tcPr/>
          <w:p>
            <w:pPr>
              <w:pStyle w:val="Compact"/>
            </w:pPr>
            <w:r>
              <w:t xml:space="preserve">Produces a deliberately under-completed skeleton brief; stubs everything else</w:t>
            </w:r>
          </w:p>
        </w:tc>
        <w:tc>
          <w:tcPr/>
          <w:p>
            <w:pPr>
              <w:pStyle w:val="Compact"/>
            </w:pPr>
            <w:r>
              <w:t xml:space="preserve">evidence-06-ingest-skeleton-prompt</w:t>
            </w:r>
          </w:p>
        </w:tc>
      </w:tr>
      <w:tr>
        <w:tc>
          <w:tcPr/>
          <w:p>
            <w:pPr>
              <w:pStyle w:val="Compact"/>
            </w:pPr>
            <w:r>
              <w:t xml:space="preserve">Lint</w:t>
            </w:r>
          </w:p>
        </w:tc>
        <w:tc>
          <w:tcPr/>
          <w:p>
            <w:pPr>
              <w:pStyle w:val="Compact"/>
            </w:pPr>
            <w:r>
              <w:t xml:space="preserve">Structural and frontmatter hygiene pass</w:t>
            </w:r>
          </w:p>
        </w:tc>
        <w:tc>
          <w:tcPr/>
          <w:p>
            <w:pPr>
              <w:pStyle w:val="Compact"/>
            </w:pPr>
            <w:r>
              <w:t xml:space="preserve">evidence-07-six-phase-rotation</w:t>
            </w:r>
          </w:p>
        </w:tc>
      </w:tr>
      <w:tr>
        <w:tc>
          <w:tcPr/>
          <w:p>
            <w:pPr>
              <w:pStyle w:val="Compact"/>
            </w:pPr>
            <w:r>
              <w:t xml:space="preserve">Enrich</w:t>
            </w:r>
          </w:p>
        </w:tc>
        <w:tc>
          <w:tcPr/>
          <w:p>
            <w:pPr>
              <w:pStyle w:val="Compact"/>
            </w:pPr>
            <w:r>
              <w:t xml:space="preserve">Resolves stubs: hypotheticals, dual-angle critique, added quotations</w:t>
            </w:r>
          </w:p>
        </w:tc>
        <w:tc>
          <w:tcPr/>
          <w:p>
            <w:pPr>
              <w:pStyle w:val="Compact"/>
            </w:pPr>
            <w:r>
              <w:t xml:space="preserve">evidence-06-enrich-hypotheticals / -critique-balance</w:t>
            </w:r>
          </w:p>
        </w:tc>
      </w:tr>
      <w:tr>
        <w:tc>
          <w:tcPr/>
          <w:p>
            <w:pPr>
              <w:pStyle w:val="Compact"/>
            </w:pPr>
            <w:r>
              <w:t xml:space="preserve">Expand</w:t>
            </w:r>
          </w:p>
        </w:tc>
        <w:tc>
          <w:tcPr/>
          <w:p>
            <w:pPr>
              <w:pStyle w:val="Compact"/>
            </w:pPr>
            <w:r>
              <w:t xml:space="preserve">Adds connections, downstream links, target-existence checks</w:t>
            </w:r>
          </w:p>
        </w:tc>
        <w:tc>
          <w:tcPr/>
          <w:p>
            <w:pPr>
              <w:pStyle w:val="Compact"/>
            </w:pPr>
            <w:r>
              <w:t xml:space="preserve">evidence-06-stub-marker-prompt-handoff</w:t>
            </w:r>
          </w:p>
        </w:tc>
      </w:tr>
      <w:tr>
        <w:tc>
          <w:tcPr/>
          <w:p>
            <w:pPr>
              <w:pStyle w:val="Compact"/>
            </w:pPr>
            <w:r>
              <w:t xml:space="preserve">Synthesize</w:t>
            </w:r>
          </w:p>
        </w:tc>
        <w:tc>
          <w:tcPr/>
          <w:p>
            <w:pPr>
              <w:pStyle w:val="Compact"/>
            </w:pPr>
            <w:r>
              <w:t xml:space="preserve">Builds exam-ready Topic pages from two-or-more briefs plus a lecture</w:t>
            </w:r>
          </w:p>
        </w:tc>
        <w:tc>
          <w:tcPr/>
          <w:p>
            <w:pPr>
              <w:pStyle w:val="Compact"/>
            </w:pPr>
            <w:r>
              <w:t xml:space="preserve">evidence-06-synthesize-exam-readiness-prompt</w:t>
            </w:r>
          </w:p>
        </w:tc>
      </w:tr>
      <w:tr>
        <w:tc>
          <w:tcPr/>
          <w:p>
            <w:pPr>
              <w:pStyle w:val="Compact"/>
            </w:pPr>
            <w:r>
              <w:t xml:space="preserve">Verify</w:t>
            </w:r>
          </w:p>
        </w:tc>
        <w:tc>
          <w:tcPr/>
          <w:p>
            <w:pPr>
              <w:pStyle w:val="Compact"/>
            </w:pPr>
            <w:r>
              <w:t xml:space="preserve">Three adversarial personas, each forced to return a finding</w:t>
            </w:r>
          </w:p>
        </w:tc>
        <w:tc>
          <w:tcPr/>
          <w:p>
            <w:pPr>
              <w:pStyle w:val="Compact"/>
            </w:pPr>
            <w:r>
              <w:t xml:space="preserve">evidence-06-verify-persona-prompts</w:t>
            </w:r>
          </w:p>
        </w:tc>
      </w:tr>
    </w:tbl>
    <w:p>
      <w:pPr>
        <w:pStyle w:val="BodyText"/>
      </w:pPr>
      <w:r>
        <w:t xml:space="preserve">The pedagogical commitments live in the prompt text. Selected verified excerpts follow.</w:t>
      </w:r>
    </w:p>
    <w:p>
      <w:pPr>
        <w:pStyle w:val="BodyText"/>
      </w:pPr>
      <w:r>
        <w:rPr>
          <w:b/>
          <w:bCs/>
        </w:rPr>
        <w:t xml:space="preserve">Ingest under-completion</w:t>
      </w:r>
      <w:r>
        <w:t xml:space="preserve"> </w:t>
      </w:r>
      <w:r>
        <w:t xml:space="preserve">(vault RUNBOOK, Ingest Step 5; via evidence-06-ingest-skeleton-prompt):</w:t>
      </w:r>
    </w:p>
    <w:p>
      <w:pPr>
        <w:pStyle w:val="SourceCode"/>
      </w:pPr>
      <w:r>
        <w:rPr>
          <w:rStyle w:val="VerbatimChar"/>
        </w:rPr>
        <w:t xml:space="preserve">- Fill at full depth ONLY: Memory Jogger, Facts, Procedural History,</w:t>
      </w:r>
      <w:r>
        <w:br/>
      </w:r>
      <w:r>
        <w:rPr>
          <w:rStyle w:val="VerbatimChar"/>
        </w:rPr>
        <w:t xml:space="preserve">  Judicial Votes, and Holding.</w:t>
      </w:r>
      <w:r>
        <w:br/>
      </w:r>
      <w:r>
        <w:rPr>
          <w:rStyle w:val="VerbatimChar"/>
        </w:rPr>
        <w:t xml:space="preserve">- Write a majority-only Analysis sketch of roughly 150 words.</w:t>
      </w:r>
      <w:r>
        <w:br/>
      </w:r>
      <w:r>
        <w:rPr>
          <w:rStyle w:val="VerbatimChar"/>
        </w:rPr>
        <w:t xml:space="preserve">- Put exactly one Midpage-verified pin-cited quotation in Key Quotations.</w:t>
      </w:r>
      <w:r>
        <w:br/>
      </w:r>
      <w:r>
        <w:rPr>
          <w:rStyle w:val="VerbatimChar"/>
        </w:rPr>
        <w:t xml:space="preserve">- Stub the remaining sections with single-line</w:t>
      </w:r>
      <w:r>
        <w:br/>
      </w:r>
      <w:r>
        <w:rPr>
          <w:rStyle w:val="VerbatimChar"/>
        </w:rPr>
        <w:t xml:space="preserve">  &lt;!-- ENRICH: {one-sentence description} --&gt; markers.</w:t>
      </w:r>
    </w:p>
    <w:p>
      <w:pPr>
        <w:pStyle w:val="FirstParagraph"/>
      </w:pPr>
      <w:r>
        <w:rPr>
          <w:b/>
          <w:bCs/>
        </w:rPr>
        <w:t xml:space="preserve">Enrich distributional requirements</w:t>
      </w:r>
      <w:r>
        <w:t xml:space="preserve"> </w:t>
      </w:r>
      <w:r>
        <w:t xml:space="preserve">(vault RUNBOOK, Enrich Step 3; via evidence-06 cards):</w:t>
      </w:r>
    </w:p>
    <w:p>
      <w:pPr>
        <w:pStyle w:val="SourceCode"/>
      </w:pPr>
      <w:r>
        <w:rPr>
          <w:rStyle w:val="VerbatimChar"/>
        </w:rPr>
        <w:t xml:space="preserve">- Hypothetical Applications: five hypos total (2 same-side, 2 opposite-side,</w:t>
      </w:r>
      <w:r>
        <w:br/>
      </w:r>
      <w:r>
        <w:rPr>
          <w:rStyle w:val="VerbatimChar"/>
        </w:rPr>
        <w:t xml:space="preserve">  1 fence-sitter). Each hypo needs fact pattern + reasoning.</w:t>
      </w:r>
      <w:r>
        <w:br/>
      </w:r>
      <w:r>
        <w:rPr>
          <w:rStyle w:val="VerbatimChar"/>
        </w:rPr>
        <w:t xml:space="preserve">- Critique: at least one progressive angle and one originalist/textualist</w:t>
      </w:r>
      <w:r>
        <w:br/>
      </w:r>
      <w:r>
        <w:rPr>
          <w:rStyle w:val="VerbatimChar"/>
        </w:rPr>
        <w:t xml:space="preserve">  angle, each grounded in a published critique or signposted argument.</w:t>
      </w:r>
    </w:p>
    <w:p>
      <w:pPr>
        <w:pStyle w:val="FirstParagraph"/>
      </w:pPr>
      <w:r>
        <w:rPr>
          <w:b/>
          <w:bCs/>
        </w:rPr>
        <w:t xml:space="preserve">Enrich cardinal rule on verification</w:t>
      </w:r>
      <w:r>
        <w:t xml:space="preserve"> </w:t>
      </w:r>
      <w:r>
        <w:t xml:space="preserve">(vault RUNBOOK, Enrich; via evidence-06-midpage-quote-verification-prompt):</w:t>
      </w:r>
    </w:p>
    <w:p>
      <w:pPr>
        <w:pStyle w:val="SourceCode"/>
      </w:pPr>
      <w:r>
        <w:rPr>
          <w:rStyle w:val="VerbatimChar"/>
        </w:rPr>
        <w:t xml:space="preserve">Never invent details; every filled stub traces to a PDF, a Midpage result,</w:t>
      </w:r>
      <w:r>
        <w:br/>
      </w:r>
      <w:r>
        <w:rPr>
          <w:rStyle w:val="VerbatimChar"/>
        </w:rPr>
        <w:t xml:space="preserve">or a web-search citation; Key Quotations are Midpage-verified text with</w:t>
      </w:r>
      <w:r>
        <w:br/>
      </w:r>
      <w:r>
        <w:rPr>
          <w:rStyle w:val="VerbatimChar"/>
        </w:rPr>
        <w:t xml:space="preserve">pin-cite URLs or they do not go in.</w:t>
      </w:r>
    </w:p>
    <w:p>
      <w:pPr>
        <w:pStyle w:val="FirstParagraph"/>
      </w:pPr>
      <w:r>
        <w:rPr>
          <w:b/>
          <w:bCs/>
        </w:rPr>
        <w:t xml:space="preserve">The typed schema as the prompt contract</w:t>
      </w:r>
      <w:r>
        <w:t xml:space="preserve"> </w:t>
      </w:r>
      <w:r>
        <w:t xml:space="preserve">(vault Templates/Case Brief.md; via evidence-06-typed-schema-as-prompt). Every Ingest and Enrich run loads this nine-section H2 scaffold and is asked to fill it rather than to write a brief in whatever shape it prefers:</w:t>
      </w:r>
    </w:p>
    <w:p>
      <w:pPr>
        <w:pStyle w:val="SourceCode"/>
      </w:pPr>
      <w:r>
        <w:rPr>
          <w:rStyle w:val="VerbatimChar"/>
        </w:rPr>
        <w:t xml:space="preserve">Memory Jogger / Facts / Procedural History / Judicial Votes / Holding /</w:t>
      </w:r>
      <w:r>
        <w:br/>
      </w:r>
      <w:r>
        <w:rPr>
          <w:rStyle w:val="VerbatimChar"/>
        </w:rPr>
        <w:t xml:space="preserve">Analysis (Majority, Concurrence, Dissent) / Hypothetical Applications</w:t>
      </w:r>
      <w:r>
        <w:br/>
      </w:r>
      <w:r>
        <w:rPr>
          <w:rStyle w:val="VerbatimChar"/>
        </w:rPr>
        <w:t xml:space="preserve">(Same-Side, Opposite-Side, Fence-Sitter) / Critique / Key Quotations /</w:t>
      </w:r>
      <w:r>
        <w:br/>
      </w:r>
      <w:r>
        <w:rPr>
          <w:rStyle w:val="VerbatimChar"/>
        </w:rPr>
        <w:t xml:space="preserve">Key Points / Connections / Sources</w:t>
      </w:r>
    </w:p>
    <w:p>
      <w:pPr>
        <w:pStyle w:val="FirstParagraph"/>
      </w:pPr>
      <w:r>
        <w:rPr>
          <w:b/>
          <w:bCs/>
        </w:rPr>
        <w:t xml:space="preserve">Verify forced-finding</w:t>
      </w:r>
      <w:r>
        <w:t xml:space="preserve"> </w:t>
      </w:r>
      <w:r>
        <w:t xml:space="preserve">(vault PERSONAS.md; via evidence-06-verify-persona-prompts). Three personas (Staleness Auditor, Contradiction Hunter, Template Enforcer) run every pass, with run-count-keyed lead rotation:</w:t>
      </w:r>
    </w:p>
    <w:p>
      <w:pPr>
        <w:pStyle w:val="SourceCode"/>
      </w:pPr>
      <w:r>
        <w:rPr>
          <w:rStyle w:val="VerbatimChar"/>
        </w:rPr>
        <w:t xml:space="preserve">Each must return at least one concrete finding per run. If a persona</w:t>
      </w:r>
      <w:r>
        <w:br/>
      </w:r>
      <w:r>
        <w:rPr>
          <w:rStyle w:val="VerbatimChar"/>
        </w:rPr>
        <w:t xml:space="preserve">genuinely finds nothing, it records `persona-produced-nothing` as its</w:t>
      </w:r>
      <w:r>
        <w:br/>
      </w:r>
      <w:r>
        <w:rPr>
          <w:rStyle w:val="VerbatimChar"/>
        </w:rPr>
        <w:t xml:space="preserve">own finding.</w:t>
      </w:r>
    </w:p>
    <w:bookmarkEnd w:id="15"/>
    <w:bookmarkStart w:id="16" w:name="X6e3c8dcd5b1ff10b5f60642a9ba3afe0faa1e4d"/>
    <w:p>
      <w:pPr>
        <w:pStyle w:val="Heading3"/>
      </w:pPr>
      <w:r>
        <w:t xml:space="preserve">B.1.b Article construction prompts (this paper’s meta-system) [article]</w:t>
      </w:r>
    </w:p>
    <w:p>
      <w:pPr>
        <w:pStyle w:val="FirstParagraph"/>
      </w:pPr>
      <w:r>
        <w:t xml:space="preserve">This paper is written by a second scheduled task with its own rotation, documented verbatim in the in-repo Article RUNBOOK. One phase runs per tick; the dispatcher reads state, honors gates, executes, scores, and advances.</w:t>
      </w:r>
    </w:p>
    <w:p>
      <w:pPr>
        <w:pStyle w:val="BlockText"/>
      </w:pPr>
      <w:r>
        <w:t xml:space="preserve">Harvest -&gt; Outline -&gt; Draft -&gt; Cite -&gt; Polish -&gt; Stitch -&gt; Verify -&gt; repeat</w:t>
      </w:r>
      <w:r>
        <w:t xml:space="preserve"> </w:t>
      </w:r>
      <w:r>
        <w:t xml:space="preserve">(provenance: Article/PROJECT_PRIMER.md)</w:t>
      </w:r>
    </w:p>
    <w:tbl>
      <w:tblPr>
        <w:tblStyle w:val="Table"/>
        <w:tblW w:type="pct" w:w="5000"/>
        <w:tblLayout w:type="fixed"/>
        <w:tblLook w:firstRow="1" w:lastRow="0" w:firstColumn="0" w:lastColumn="0" w:noHBand="0" w:noVBand="0" w:val="0020"/>
      </w:tblPr>
      <w:tblGrid>
        <w:gridCol w:w="815"/>
        <w:gridCol w:w="5707"/>
        <w:gridCol w:w="1397"/>
      </w:tblGrid>
      <w:tr>
        <w:trPr>
          <w:tblHeader w:val="on"/>
        </w:trPr>
        <w:tc>
          <w:tcPr/>
          <w:p>
            <w:pPr>
              <w:pStyle w:val="Compact"/>
            </w:pPr>
            <w:r>
              <w:t xml:space="preserve">Phase</w:t>
            </w:r>
          </w:p>
        </w:tc>
        <w:tc>
          <w:tcPr/>
          <w:p>
            <w:pPr>
              <w:pStyle w:val="Compact"/>
            </w:pPr>
            <w:r>
              <w:t xml:space="preserve">Directive (paraphrased from Article/RUNBOOK.md)</w:t>
            </w:r>
          </w:p>
        </w:tc>
        <w:tc>
          <w:tcPr/>
          <w:p>
            <w:pPr>
              <w:pStyle w:val="Compact"/>
            </w:pPr>
            <w:r>
              <w:t xml:space="preserve">Provenance</w:t>
            </w:r>
          </w:p>
        </w:tc>
      </w:tr>
      <w:tr>
        <w:tc>
          <w:tcPr/>
          <w:p>
            <w:pPr>
              <w:pStyle w:val="Compact"/>
            </w:pPr>
            <w:r>
              <w:t xml:space="preserve">Harvest</w:t>
            </w:r>
          </w:p>
        </w:tc>
        <w:tc>
          <w:tcPr/>
          <w:p>
            <w:pPr>
              <w:pStyle w:val="Compact"/>
            </w:pPr>
            <w:r>
              <w:t xml:space="preserve">One evidence card per atomic fact; verified flag required</w:t>
            </w:r>
          </w:p>
        </w:tc>
        <w:tc>
          <w:tcPr/>
          <w:p>
            <w:pPr>
              <w:pStyle w:val="Compact"/>
            </w:pPr>
            <w:r>
              <w:t xml:space="preserve">Article/RUNBOOK.md, Phase: Harvest</w:t>
            </w:r>
          </w:p>
        </w:tc>
      </w:tr>
      <w:tr>
        <w:tc>
          <w:tcPr/>
          <w:p>
            <w:pPr>
              <w:pStyle w:val="Compact"/>
            </w:pPr>
            <w:r>
              <w:t xml:space="preserve">Outline</w:t>
            </w:r>
          </w:p>
        </w:tc>
        <w:tc>
          <w:tcPr/>
          <w:p>
            <w:pPr>
              <w:pStyle w:val="Compact"/>
            </w:pPr>
            <w:r>
              <w:t xml:space="preserve">Heading spine with an</w:t>
            </w:r>
            <w:r>
              <w:t xml:space="preserve"> </w:t>
            </w:r>
            <w:r>
              <w:rPr>
                <w:rStyle w:val="VerbatimChar"/>
              </w:rPr>
              <w:t xml:space="preserve">[evidence: ...]</w:t>
            </w:r>
            <w:r>
              <w:t xml:space="preserve"> </w:t>
            </w:r>
            <w:r>
              <w:t xml:space="preserve">pointer on every bullet</w:t>
            </w:r>
          </w:p>
        </w:tc>
        <w:tc>
          <w:tcPr/>
          <w:p>
            <w:pPr>
              <w:pStyle w:val="Compact"/>
            </w:pPr>
            <w:r>
              <w:t xml:space="preserve">Article/RUNBOOK.md, Phase: Outline</w:t>
            </w:r>
          </w:p>
        </w:tc>
      </w:tr>
      <w:tr>
        <w:tc>
          <w:tcPr/>
          <w:p>
            <w:pPr>
              <w:pStyle w:val="Compact"/>
            </w:pPr>
            <w:r>
              <w:t xml:space="preserve">Draft</w:t>
            </w:r>
          </w:p>
        </w:tc>
        <w:tc>
          <w:tcPr/>
          <w:p>
            <w:pPr>
              <w:pStyle w:val="Compact"/>
            </w:pPr>
            <w:r>
              <w:t xml:space="preserve">House-voice prose; inline</w:t>
            </w:r>
            <w:r>
              <w:t xml:space="preserve"> </w:t>
            </w:r>
            <w:r>
              <w:rPr>
                <w:rStyle w:val="VerbatimChar"/>
              </w:rPr>
              <w:t xml:space="preserve">[CITE: ...]</w:t>
            </w:r>
            <w:r>
              <w:t xml:space="preserve"> </w:t>
            </w:r>
            <w:r>
              <w:t xml:space="preserve">placeholders only</w:t>
            </w:r>
          </w:p>
        </w:tc>
        <w:tc>
          <w:tcPr/>
          <w:p>
            <w:pPr>
              <w:pStyle w:val="Compact"/>
            </w:pPr>
            <w:r>
              <w:t xml:space="preserve">Article/RUNBOOK.md, Phase: Draft</w:t>
            </w:r>
          </w:p>
        </w:tc>
      </w:tr>
      <w:tr>
        <w:tc>
          <w:tcPr/>
          <w:p>
            <w:pPr>
              <w:pStyle w:val="Compact"/>
            </w:pPr>
            <w:r>
              <w:t xml:space="preserve">Cite</w:t>
            </w:r>
          </w:p>
        </w:tc>
        <w:tc>
          <w:tcPr/>
          <w:p>
            <w:pPr>
              <w:pStyle w:val="Compact"/>
            </w:pPr>
            <w:r>
              <w:t xml:space="preserve">Replace placeholders with Bluebook 21st footnotes; verify URL liveness</w:t>
            </w:r>
          </w:p>
        </w:tc>
        <w:tc>
          <w:tcPr/>
          <w:p>
            <w:pPr>
              <w:pStyle w:val="Compact"/>
            </w:pPr>
            <w:r>
              <w:t xml:space="preserve">Article/RUNBOOK.md, Phase: Cite</w:t>
            </w:r>
          </w:p>
        </w:tc>
      </w:tr>
      <w:tr>
        <w:tc>
          <w:tcPr/>
          <w:p>
            <w:pPr>
              <w:pStyle w:val="Compact"/>
            </w:pPr>
            <w:r>
              <w:t xml:space="preserve">Polish</w:t>
            </w:r>
          </w:p>
        </w:tc>
        <w:tc>
          <w:tcPr/>
          <w:p>
            <w:pPr>
              <w:pStyle w:val="Compact"/>
            </w:pPr>
            <w:r>
              <w:t xml:space="preserve">No em dashes, curly quotes, voice unity, one idea per sentence</w:t>
            </w:r>
          </w:p>
        </w:tc>
        <w:tc>
          <w:tcPr/>
          <w:p>
            <w:pPr>
              <w:pStyle w:val="Compact"/>
            </w:pPr>
            <w:r>
              <w:t xml:space="preserve">Article/RUNBOOK.md, Phase: Polish</w:t>
            </w:r>
          </w:p>
        </w:tc>
      </w:tr>
      <w:tr>
        <w:tc>
          <w:tcPr/>
          <w:p>
            <w:pPr>
              <w:pStyle w:val="Compact"/>
            </w:pPr>
            <w:r>
              <w:t xml:space="preserve">Stitch</w:t>
            </w:r>
          </w:p>
        </w:tc>
        <w:tc>
          <w:tcPr/>
          <w:p>
            <w:pPr>
              <w:pStyle w:val="Compact"/>
            </w:pPr>
            <w:r>
              <w:t xml:space="preserve">Cross-section consistency; adaptive interim vs. final assembly</w:t>
            </w:r>
          </w:p>
        </w:tc>
        <w:tc>
          <w:tcPr/>
          <w:p>
            <w:pPr>
              <w:pStyle w:val="Compact"/>
            </w:pPr>
            <w:r>
              <w:t xml:space="preserve">Article/RUNBOOK.md, Phase: Stitch</w:t>
            </w:r>
          </w:p>
        </w:tc>
      </w:tr>
      <w:tr>
        <w:tc>
          <w:tcPr/>
          <w:p>
            <w:pPr>
              <w:pStyle w:val="Compact"/>
            </w:pPr>
            <w:r>
              <w:t xml:space="preserve">Verify</w:t>
            </w:r>
          </w:p>
        </w:tc>
        <w:tc>
          <w:tcPr/>
          <w:p>
            <w:pPr>
              <w:pStyle w:val="Compact"/>
            </w:pPr>
            <w:r>
              <w:t xml:space="preserve">Three personas, forced findings, P1-deferral until first pass</w:t>
            </w:r>
          </w:p>
        </w:tc>
        <w:tc>
          <w:tcPr/>
          <w:p>
            <w:pPr>
              <w:pStyle w:val="Compact"/>
            </w:pPr>
            <w:r>
              <w:t xml:space="preserve">Article/RUNBOOK.md, Phase: Verify</w:t>
            </w:r>
          </w:p>
        </w:tc>
      </w:tr>
    </w:tbl>
    <w:p>
      <w:pPr>
        <w:pStyle w:val="BodyText"/>
      </w:pPr>
      <w:r>
        <w:t xml:space="preserve">Two prompt-level sub-tasks ride inside the rotation. The Outline phase carries an abstract sub-task (draft toward 240 to 260 words, score against rubric/abstract.md, advance to review after three stable runs). The Harvest phase carries an appendix sub-task that fires once all fourteen sections reach</w:t>
      </w:r>
      <w:r>
        <w:t xml:space="preserve"> </w:t>
      </w:r>
      <w:r>
        <w:rPr>
          <w:rStyle w:val="VerbatimChar"/>
        </w:rPr>
        <w:t xml:space="preserve">evidence_status: populated</w:t>
      </w:r>
      <w:r>
        <w:t xml:space="preserve">; it selects the lowest-letter unfinished appendix and reproduces or writes it. The scheduled-task prompt run by the claude.ai routine also encodes the push-to-master protocol that keeps each tick off the ephemeral branch, the never-fabricate rule, and the gate logic that flips submission readiness to await a human and never submits. This very appendix is the appendix sub-task’s output, so the prompt that produced it is itself an entry in the table above.</w:t>
      </w:r>
    </w:p>
    <w:bookmarkEnd w:id="16"/>
    <w:bookmarkEnd w:id="17"/>
    <w:bookmarkStart w:id="18" w:name="b.2-claude-code-skills"/>
    <w:p>
      <w:pPr>
        <w:pStyle w:val="Heading2"/>
      </w:pPr>
      <w:r>
        <w:t xml:space="preserve">B.2 Claude Code skills</w:t>
      </w:r>
    </w:p>
    <w:p>
      <w:pPr>
        <w:pStyle w:val="FirstParagraph"/>
      </w:pPr>
      <w:r>
        <w:t xml:space="preserve">The two scheduled-task rotations are the repeatable agent routines that drive the project end to end; both are verifiable from in-repo artifacts. The Midpage verification protocol functions as a reused sub-routine invoked across phases.</w:t>
      </w:r>
    </w:p>
    <w:tbl>
      <w:tblPr>
        <w:tblStyle w:val="Table"/>
        <w:tblW w:type="pct" w:w="5000"/>
        <w:tblLayout w:type="fixed"/>
        <w:tblLook w:firstRow="1" w:lastRow="0" w:firstColumn="0" w:lastColumn="0" w:noHBand="0" w:noVBand="0" w:val="0020"/>
      </w:tblPr>
      <w:tblGrid>
        <w:gridCol w:w="1584"/>
        <w:gridCol w:w="1408"/>
        <w:gridCol w:w="1584"/>
        <w:gridCol w:w="1232"/>
        <w:gridCol w:w="2112"/>
      </w:tblGrid>
      <w:tr>
        <w:trPr>
          <w:tblHeader w:val="on"/>
        </w:trPr>
        <w:tc>
          <w:tcPr/>
          <w:p>
            <w:pPr>
              <w:pStyle w:val="Compact"/>
            </w:pPr>
            <w:r>
              <w:t xml:space="preserve">Routine</w:t>
            </w:r>
          </w:p>
        </w:tc>
        <w:tc>
          <w:tcPr/>
          <w:p>
            <w:pPr>
              <w:pStyle w:val="Compact"/>
            </w:pPr>
            <w:r>
              <w:t xml:space="preserve">Source</w:t>
            </w:r>
          </w:p>
        </w:tc>
        <w:tc>
          <w:tcPr/>
          <w:p>
            <w:pPr>
              <w:pStyle w:val="Compact"/>
            </w:pPr>
            <w:r>
              <w:t xml:space="preserve">Purpose</w:t>
            </w:r>
          </w:p>
        </w:tc>
        <w:tc>
          <w:tcPr/>
          <w:p>
            <w:pPr>
              <w:pStyle w:val="Compact"/>
            </w:pPr>
            <w:r>
              <w:t xml:space="preserve">Label</w:t>
            </w:r>
          </w:p>
        </w:tc>
        <w:tc>
          <w:tcPr/>
          <w:p>
            <w:pPr>
              <w:pStyle w:val="Compact"/>
            </w:pPr>
            <w:r>
              <w:t xml:space="preserve">Provenance</w:t>
            </w:r>
          </w:p>
        </w:tc>
      </w:tr>
      <w:tr>
        <w:tc>
          <w:tcPr/>
          <w:p>
            <w:pPr>
              <w:pStyle w:val="Compact"/>
            </w:pPr>
            <w:r>
              <w:t xml:space="preserve">Vault maintenance rotation</w:t>
            </w:r>
          </w:p>
        </w:tc>
        <w:tc>
          <w:tcPr/>
          <w:p>
            <w:pPr>
              <w:pStyle w:val="Compact"/>
            </w:pPr>
            <w:r>
              <w:t xml:space="preserve">Scheduled task</w:t>
            </w:r>
          </w:p>
        </w:tc>
        <w:tc>
          <w:tcPr/>
          <w:p>
            <w:pPr>
              <w:pStyle w:val="Compact"/>
            </w:pPr>
            <w:r>
              <w:t xml:space="preserve">Six-phase build and upkeep of the Con Law vault</w:t>
            </w:r>
          </w:p>
        </w:tc>
        <w:tc>
          <w:tcPr/>
          <w:p>
            <w:pPr>
              <w:pStyle w:val="Compact"/>
            </w:pPr>
            <w:r>
              <w:t xml:space="preserve">[vault]</w:t>
            </w:r>
          </w:p>
        </w:tc>
        <w:tc>
          <w:tcPr/>
          <w:p>
            <w:pPr>
              <w:pStyle w:val="Compact"/>
            </w:pPr>
            <w:r>
              <w:t xml:space="preserve">evidence-07-six-phase-rotation</w:t>
            </w:r>
          </w:p>
        </w:tc>
      </w:tr>
      <w:tr>
        <w:tc>
          <w:tcPr/>
          <w:p>
            <w:pPr>
              <w:pStyle w:val="Compact"/>
            </w:pPr>
            <w:r>
              <w:t xml:space="preserve">Article maintenance rotation</w:t>
            </w:r>
          </w:p>
        </w:tc>
        <w:tc>
          <w:tcPr/>
          <w:p>
            <w:pPr>
              <w:pStyle w:val="Compact"/>
            </w:pPr>
            <w:r>
              <w:t xml:space="preserve">Scheduled task</w:t>
            </w:r>
          </w:p>
        </w:tc>
        <w:tc>
          <w:tcPr/>
          <w:p>
            <w:pPr>
              <w:pStyle w:val="Compact"/>
            </w:pPr>
            <w:r>
              <w:t xml:space="preserve">Seven-phase authoring of this paper</w:t>
            </w:r>
          </w:p>
        </w:tc>
        <w:tc>
          <w:tcPr/>
          <w:p>
            <w:pPr>
              <w:pStyle w:val="Compact"/>
            </w:pPr>
            <w:r>
              <w:t xml:space="preserve">[article]</w:t>
            </w:r>
          </w:p>
        </w:tc>
        <w:tc>
          <w:tcPr/>
          <w:p>
            <w:pPr>
              <w:pStyle w:val="Compact"/>
            </w:pPr>
            <w:r>
              <w:t xml:space="preserve">Article/RUNBOOK.md</w:t>
            </w:r>
          </w:p>
        </w:tc>
      </w:tr>
      <w:tr>
        <w:tc>
          <w:tcPr/>
          <w:p>
            <w:pPr>
              <w:pStyle w:val="Compact"/>
            </w:pPr>
            <w:r>
              <w:t xml:space="preserve">Midpage quote-verification protocol</w:t>
            </w:r>
          </w:p>
        </w:tc>
        <w:tc>
          <w:tcPr/>
          <w:p>
            <w:pPr>
              <w:pStyle w:val="Compact"/>
            </w:pPr>
            <w:r>
              <w:t xml:space="preserve">Sub-routine</w:t>
            </w:r>
          </w:p>
        </w:tc>
        <w:tc>
          <w:tcPr/>
          <w:p>
            <w:pPr>
              <w:pStyle w:val="Compact"/>
            </w:pPr>
            <w:r>
              <w:t xml:space="preserve">Confirm every quotation against the indexed opinion</w:t>
            </w:r>
          </w:p>
        </w:tc>
        <w:tc>
          <w:tcPr/>
          <w:p>
            <w:pPr>
              <w:pStyle w:val="Compact"/>
            </w:pPr>
            <w:r>
              <w:t xml:space="preserve">[both]</w:t>
            </w:r>
          </w:p>
        </w:tc>
        <w:tc>
          <w:tcPr/>
          <w:p>
            <w:pPr>
              <w:pStyle w:val="Compact"/>
            </w:pPr>
            <w:r>
              <w:t xml:space="preserve">evidence-06-midpage-quote-verification-prompt; Article/LESSONS.md L-004</w:t>
            </w:r>
          </w:p>
        </w:tc>
      </w:tr>
    </w:tbl>
    <w:p>
      <w:pPr>
        <w:pStyle w:val="BodyText"/>
      </w:pPr>
      <w:r>
        <w:t xml:space="preserve">Intentionally excluded: the appendix scaffold names additional Claude Code skill categories used during early scaffolding and research (GSD project-orchestration skills, legal-research plugin skills such as case-brief and search_cases_by_concept, and Anthropic core skills such as scheduled-task-bootstrap, docx, pdf, and content-research-writer). Their manifests live in the Claude configuration outside the article repository and are not captured in the evidence cards, so they are listed here by category for completeness rather than reproduced; the article does not assert a verified invocation it cannot source.</w:t>
      </w:r>
    </w:p>
    <w:bookmarkEnd w:id="18"/>
    <w:bookmarkStart w:id="19" w:name="b.3-plugins-and-mcp-connectors"/>
    <w:p>
      <w:pPr>
        <w:pStyle w:val="Heading2"/>
      </w:pPr>
      <w:r>
        <w:t xml:space="preserve">B.3 Plugins and MCP connectors</w:t>
      </w:r>
    </w:p>
    <w:p>
      <w:pPr>
        <w:pStyle w:val="FirstParagraph"/>
      </w:pPr>
      <w:r>
        <w:t xml:space="preserve">Connectors below are verified-invoked: each appears in an evidence card or LESSONS entry recording an actual call and its result.</w:t>
      </w:r>
    </w:p>
    <w:tbl>
      <w:tblPr>
        <w:tblStyle w:val="Table"/>
        <w:tblW w:type="pct" w:w="5000"/>
        <w:tblLayout w:type="fixed"/>
        <w:tblLook w:firstRow="1" w:lastRow="0" w:firstColumn="0" w:lastColumn="0" w:noHBand="0" w:noVBand="0" w:val="0020"/>
      </w:tblPr>
      <w:tblGrid>
        <w:gridCol w:w="1708"/>
        <w:gridCol w:w="1708"/>
        <w:gridCol w:w="1552"/>
        <w:gridCol w:w="1087"/>
        <w:gridCol w:w="1863"/>
      </w:tblGrid>
      <w:tr>
        <w:trPr>
          <w:tblHeader w:val="on"/>
        </w:trPr>
        <w:tc>
          <w:tcPr/>
          <w:p>
            <w:pPr>
              <w:pStyle w:val="Compact"/>
            </w:pPr>
            <w:r>
              <w:t xml:space="preserve">Connector</w:t>
            </w:r>
          </w:p>
        </w:tc>
        <w:tc>
          <w:tcPr/>
          <w:p>
            <w:pPr>
              <w:pStyle w:val="Compact"/>
            </w:pPr>
            <w:r>
              <w:t xml:space="preserve">Tools used</w:t>
            </w:r>
          </w:p>
        </w:tc>
        <w:tc>
          <w:tcPr/>
          <w:p>
            <w:pPr>
              <w:pStyle w:val="Compact"/>
            </w:pPr>
            <w:r>
              <w:t xml:space="preserve">Used for</w:t>
            </w:r>
          </w:p>
        </w:tc>
        <w:tc>
          <w:tcPr/>
          <w:p>
            <w:pPr>
              <w:pStyle w:val="Compact"/>
            </w:pPr>
            <w:r>
              <w:t xml:space="preserve">Label</w:t>
            </w:r>
          </w:p>
        </w:tc>
        <w:tc>
          <w:tcPr/>
          <w:p>
            <w:pPr>
              <w:pStyle w:val="Compact"/>
            </w:pPr>
            <w:r>
              <w:t xml:space="preserve">Provenance</w:t>
            </w:r>
          </w:p>
        </w:tc>
      </w:tr>
      <w:tr>
        <w:tc>
          <w:tcPr/>
          <w:p>
            <w:pPr>
              <w:pStyle w:val="Compact"/>
            </w:pPr>
            <w:r>
              <w:t xml:space="preserve">Midpage Legal Research (MCP)</w:t>
            </w:r>
          </w:p>
        </w:tc>
        <w:tc>
          <w:tcPr/>
          <w:p>
            <w:pPr>
              <w:pStyle w:val="Compact"/>
            </w:pPr>
            <w:r>
              <w:t xml:space="preserve">search, findInOpinion, analyzeOpinion</w:t>
            </w:r>
          </w:p>
        </w:tc>
        <w:tc>
          <w:tcPr/>
          <w:p>
            <w:pPr>
              <w:pStyle w:val="Compact"/>
            </w:pPr>
            <w:r>
              <w:t xml:space="preserve">Quote verification against indexed opinions; the Prize Cases / Grier catch</w:t>
            </w:r>
          </w:p>
        </w:tc>
        <w:tc>
          <w:tcPr/>
          <w:p>
            <w:pPr>
              <w:pStyle w:val="Compact"/>
            </w:pPr>
            <w:r>
              <w:t xml:space="preserve">[both]</w:t>
            </w:r>
          </w:p>
        </w:tc>
        <w:tc>
          <w:tcPr/>
          <w:p>
            <w:pPr>
              <w:pStyle w:val="Compact"/>
            </w:pPr>
            <w:r>
              <w:t xml:space="preserve">evidence-03/-06/-07; Article/LESSONS.md L-004</w:t>
            </w:r>
          </w:p>
        </w:tc>
      </w:tr>
      <w:tr>
        <w:tc>
          <w:tcPr/>
          <w:p>
            <w:pPr>
              <w:pStyle w:val="Compact"/>
            </w:pPr>
            <w:r>
              <w:t xml:space="preserve">CourtListener (MCP)</w:t>
            </w:r>
          </w:p>
        </w:tc>
        <w:tc>
          <w:tcPr/>
          <w:p>
            <w:pPr>
              <w:pStyle w:val="Compact"/>
            </w:pPr>
            <w:r>
              <w:t xml:space="preserve">find_citing_cases, find_cited_cases</w:t>
            </w:r>
          </w:p>
        </w:tc>
        <w:tc>
          <w:tcPr/>
          <w:p>
            <w:pPr>
              <w:pStyle w:val="Compact"/>
            </w:pPr>
            <w:r>
              <w:t xml:space="preserve">Citation chains;</w:t>
            </w:r>
            <w:r>
              <w:t xml:space="preserve"> </w:t>
            </w:r>
            <w:r>
              <w:rPr>
                <w:rStyle w:val="VerbatimChar"/>
              </w:rPr>
              <w:t xml:space="preserve">cited_by</w:t>
            </w:r>
            <w:r>
              <w:t xml:space="preserve"> </w:t>
            </w:r>
            <w:r>
              <w:t xml:space="preserve">and</w:t>
            </w:r>
            <w:r>
              <w:t xml:space="preserve"> </w:t>
            </w:r>
            <w:r>
              <w:rPr>
                <w:rStyle w:val="VerbatimChar"/>
              </w:rPr>
              <w:t xml:space="preserve">applied_in</w:t>
            </w:r>
            <w:r>
              <w:t xml:space="preserve"> </w:t>
            </w:r>
            <w:r>
              <w:t xml:space="preserve">frontmatter</w:t>
            </w:r>
          </w:p>
        </w:tc>
        <w:tc>
          <w:tcPr/>
          <w:p>
            <w:pPr>
              <w:pStyle w:val="Compact"/>
            </w:pPr>
            <w:r>
              <w:t xml:space="preserve">[vault]</w:t>
            </w:r>
          </w:p>
        </w:tc>
        <w:tc>
          <w:tcPr/>
          <w:p>
            <w:pPr>
              <w:pStyle w:val="Compact"/>
            </w:pPr>
            <w:r>
              <w:t xml:space="preserve">evidence-05-machine-readable-frontmatter-values; Workplan</w:t>
            </w:r>
          </w:p>
        </w:tc>
      </w:tr>
      <w:tr>
        <w:tc>
          <w:tcPr/>
          <w:p>
            <w:pPr>
              <w:pStyle w:val="Compact"/>
            </w:pPr>
            <w:r>
              <w:t xml:space="preserve">Netlify (MCP)</w:t>
            </w:r>
          </w:p>
        </w:tc>
        <w:tc>
          <w:tcPr/>
          <w:p>
            <w:pPr>
              <w:pStyle w:val="Compact"/>
            </w:pPr>
            <w:r>
              <w:t xml:space="preserve">manage-form-submissions (get/delete); netlify-deploy-services-updater (fallback)</w:t>
            </w:r>
          </w:p>
        </w:tc>
        <w:tc>
          <w:tcPr/>
          <w:p>
            <w:pPr>
              <w:pStyle w:val="Compact"/>
            </w:pPr>
            <w:r>
              <w:t xml:space="preserve">Page-feedback intake loop; demoted deploy fallback that consumes build minutes</w:t>
            </w:r>
          </w:p>
        </w:tc>
        <w:tc>
          <w:tcPr/>
          <w:p>
            <w:pPr>
              <w:pStyle w:val="Compact"/>
            </w:pPr>
            <w:r>
              <w:t xml:space="preserve">[vault]</w:t>
            </w:r>
          </w:p>
        </w:tc>
        <w:tc>
          <w:tcPr/>
          <w:p>
            <w:pPr>
              <w:pStyle w:val="Compact"/>
            </w:pPr>
            <w:r>
              <w:t xml:space="preserve">evidence-08-feedback-form-loopback; evidence-09-netlify-cli-zero-build-minutes</w:t>
            </w:r>
          </w:p>
        </w:tc>
      </w:tr>
      <w:tr>
        <w:tc>
          <w:tcPr/>
          <w:p>
            <w:pPr>
              <w:pStyle w:val="Compact"/>
            </w:pPr>
            <w:r>
              <w:t xml:space="preserve">WebFetch / WebSearch (built-in)</w:t>
            </w:r>
          </w:p>
        </w:tc>
        <w:tc>
          <w:tcPr/>
          <w:p>
            <w:pPr>
              <w:pStyle w:val="Compact"/>
            </w:pPr>
            <w:r>
              <w:t xml:space="preserve">Fetch, search</w:t>
            </w:r>
          </w:p>
        </w:tc>
        <w:tc>
          <w:tcPr/>
          <w:p>
            <w:pPr>
              <w:pStyle w:val="Compact"/>
            </w:pPr>
            <w:r>
              <w:t xml:space="preserve">Cite-phase URL liveness; live-site confirmation</w:t>
            </w:r>
          </w:p>
        </w:tc>
        <w:tc>
          <w:tcPr/>
          <w:p>
            <w:pPr>
              <w:pStyle w:val="Compact"/>
            </w:pPr>
            <w:r>
              <w:t xml:space="preserve">[both]</w:t>
            </w:r>
          </w:p>
        </w:tc>
        <w:tc>
          <w:tcPr/>
          <w:p>
            <w:pPr>
              <w:pStyle w:val="Compact"/>
            </w:pPr>
            <w:r>
              <w:t xml:space="preserve">Article/LESSONS.md L-022/L-052; evidence-01-corpus-snapshot-and-live-url</w:t>
            </w:r>
          </w:p>
        </w:tc>
      </w:tr>
    </w:tbl>
    <w:p>
      <w:pPr>
        <w:pStyle w:val="BodyText"/>
      </w:pPr>
      <w:r>
        <w:t xml:space="preserve">The canonical deploy path is the Netlify CLI direct upload, preferred precisely because it does not consume Netlify build minutes; the Netlify MCP path is the documented fallback (provenance: evidence-09-netlify-cli-zero-build-minutes, DEPLOY.md Step 2).</w:t>
      </w:r>
    </w:p>
    <w:p>
      <w:pPr>
        <w:pStyle w:val="BodyText"/>
      </w:pPr>
      <w:r>
        <w:t xml:space="preserve">Intentionally excluded: other legal plugins named in the scaffold (for example a case-search engine beyond Midpage and CourtListener) are not reproduced because no evidence card records a verified call. The Anthropic connectors available in the environment (Gmail, Google Calendar, IFTTT) were not invoked for vault or article work; the system never emails the professor, by design, so the Gmail connector in particular is present but deliberately unused.</w:t>
      </w:r>
    </w:p>
    <w:p>
      <w:pPr>
        <w:pStyle w:val="BodyText"/>
      </w:pPr>
      <w:r>
        <w:t xml:space="preserve">The recursion noted at the top is real: the article’s method describes the system, this appendix exposes the system, and the system wrote this appendix. Sections III, VI, and VII cite this appendix.</w:t>
      </w:r>
    </w:p>
    <w:bookmarkEnd w:id="19"/>
    <w:bookmarkEnd w:id="20"/>
    <w:bookmarkStart w:id="27" w:name="appendix-c.-obsidian-note-templates"/>
    <w:p>
      <w:pPr>
        <w:pStyle w:val="Heading1"/>
      </w:pPr>
      <w:r>
        <w:t xml:space="preserve">Appendix C. Obsidian Note Templates</w:t>
      </w:r>
    </w:p>
    <w:bookmarkStart w:id="21" w:name="appendix-c-obsidian-note-templates"/>
    <w:p>
      <w:pPr>
        <w:pStyle w:val="Heading2"/>
      </w:pPr>
      <w:r>
        <w:t xml:space="preserve">Appendix C: Obsidian Note Templates</w:t>
      </w:r>
    </w:p>
    <w:p>
      <w:pPr>
        <w:pStyle w:val="FirstParagraph"/>
      </w:pPr>
      <w:r>
        <w:t xml:space="preserve">The vault’s three content folders (</w:t>
      </w:r>
      <w:r>
        <w:rPr>
          <w:rStyle w:val="VerbatimChar"/>
        </w:rPr>
        <w:t xml:space="preserve">Cases/</w:t>
      </w:r>
      <w:r>
        <w:t xml:space="preserve">,</w:t>
      </w:r>
      <w:r>
        <w:t xml:space="preserve"> </w:t>
      </w:r>
      <w:r>
        <w:rPr>
          <w:rStyle w:val="VerbatimChar"/>
        </w:rPr>
        <w:t xml:space="preserve">Topics/</w:t>
      </w:r>
      <w:r>
        <w:t xml:space="preserve">,</w:t>
      </w:r>
      <w:r>
        <w:t xml:space="preserve"> </w:t>
      </w:r>
      <w:r>
        <w:rPr>
          <w:rStyle w:val="VerbatimChar"/>
        </w:rPr>
        <w:t xml:space="preserve">Lectures/</w:t>
      </w:r>
      <w:r>
        <w:t xml:space="preserve">) are each backed by a canonical template in</w:t>
      </w:r>
      <w:r>
        <w:t xml:space="preserve"> </w:t>
      </w:r>
      <w:r>
        <w:rPr>
          <w:rStyle w:val="VerbatimChar"/>
        </w:rPr>
        <w:t xml:space="preserve">Templates/</w:t>
      </w:r>
      <w:r>
        <w:t xml:space="preserve"> </w:t>
      </w:r>
      <w:r>
        <w:t xml:space="preserve">that fixes a YAML frontmatter schema and an ordered H2 body sequence. The templates are the schema source of truth; the build script and the vault Lint phase enforce conformance against them.</w:t>
      </w:r>
    </w:p>
    <w:bookmarkEnd w:id="21"/>
    <w:bookmarkStart w:id="22" w:name="c.1-case-brief"/>
    <w:p>
      <w:pPr>
        <w:pStyle w:val="Heading2"/>
      </w:pPr>
      <w:r>
        <w:t xml:space="preserve">C.1 Case Brief</w:t>
      </w:r>
    </w:p>
    <w:p>
      <w:pPr>
        <w:pStyle w:val="Compact"/>
        <w:numPr>
          <w:ilvl w:val="0"/>
          <w:numId w:val="1002"/>
        </w:numPr>
      </w:pPr>
      <w:r>
        <w:rPr>
          <w:b/>
          <w:bCs/>
        </w:rPr>
        <w:t xml:space="preserve">Template:</w:t>
      </w:r>
      <w:r>
        <w:t xml:space="preserve"> </w:t>
      </w:r>
      <w:r>
        <w:rPr>
          <w:rStyle w:val="VerbatimChar"/>
        </w:rPr>
        <w:t xml:space="preserve">Templates/Case Brief.md</w:t>
      </w:r>
      <w:r>
        <w:t xml:space="preserve">; pages live at</w:t>
      </w:r>
      <w:r>
        <w:t xml:space="preserve"> </w:t>
      </w:r>
      <w:r>
        <w:rPr>
          <w:rStyle w:val="VerbatimChar"/>
        </w:rPr>
        <w:t xml:space="preserve">Cases/Case Name v Party (Year).md</w:t>
      </w:r>
      <w:r>
        <w:t xml:space="preserve">.</w:t>
      </w:r>
    </w:p>
    <w:p>
      <w:pPr>
        <w:pStyle w:val="Compact"/>
        <w:numPr>
          <w:ilvl w:val="0"/>
          <w:numId w:val="1002"/>
        </w:numPr>
      </w:pPr>
      <w:r>
        <w:rPr>
          <w:b/>
          <w:bCs/>
        </w:rPr>
        <w:t xml:space="preserve">Frontmatter</w:t>
      </w:r>
      <w:r>
        <w:t xml:space="preserve"> </w:t>
      </w:r>
      <w:r>
        <w:t xml:space="preserve">(28 fields, grouped as in the template):</w:t>
      </w:r>
    </w:p>
    <w:p>
      <w:pPr>
        <w:pStyle w:val="SourceCode"/>
      </w:pPr>
      <w:r>
        <w:rPr>
          <w:rStyle w:val="CommentTok"/>
        </w:rPr>
        <w:t xml:space="preserve">## Identity and indexing</w:t>
      </w:r>
      <w:r>
        <w:br/>
      </w:r>
      <w:r>
        <w:rPr>
          <w:rStyle w:val="FunctionTok"/>
        </w:rPr>
        <w:t xml:space="preserve">case_name</w:t>
      </w:r>
      <w:r>
        <w:rPr>
          <w:rStyle w:val="KeywordTok"/>
        </w:rPr>
        <w:t xml:space="preserve">:</w:t>
      </w:r>
      <w:r>
        <w:rPr>
          <w:rStyle w:val="AttributeTok"/>
        </w:rPr>
        <w:t xml:space="preserve"> </w:t>
      </w:r>
      <w:r>
        <w:rPr>
          <w:rStyle w:val="StringTok"/>
        </w:rPr>
        <w:t xml:space="preserve">""</w:t>
      </w:r>
      <w:r>
        <w:rPr>
          <w:rStyle w:val="CommentTok"/>
        </w:rPr>
        <w:t xml:space="preserve">        # equals the H1 and filename stem; no periods, "and" not "&amp;"</w:t>
      </w:r>
      <w:r>
        <w:br/>
      </w:r>
      <w:r>
        <w:rPr>
          <w:rStyle w:val="FunctionTok"/>
        </w:rPr>
        <w:t xml:space="preserve">citation</w:t>
      </w:r>
      <w:r>
        <w:rPr>
          <w:rStyle w:val="KeywordTok"/>
        </w:rPr>
        <w:t xml:space="preserve">:</w:t>
      </w:r>
      <w:r>
        <w:rPr>
          <w:rStyle w:val="AttributeTok"/>
        </w:rPr>
        <w:t xml:space="preserve"> </w:t>
      </w:r>
      <w:r>
        <w:rPr>
          <w:rStyle w:val="StringTok"/>
        </w:rPr>
        <w:t xml:space="preserve">""</w:t>
      </w:r>
      <w:r>
        <w:br/>
      </w:r>
      <w:r>
        <w:rPr>
          <w:rStyle w:val="FunctionTok"/>
        </w:rPr>
        <w:t xml:space="preserve">year</w:t>
      </w:r>
      <w:r>
        <w:rPr>
          <w:rStyle w:val="KeywordTok"/>
        </w:rPr>
        <w:t xml:space="preserve">:</w:t>
      </w:r>
      <w:r>
        <w:rPr>
          <w:rStyle w:val="AttributeTok"/>
        </w:rPr>
        <w:t xml:space="preserve"> </w:t>
      </w:r>
      <w:r>
        <w:rPr>
          <w:rStyle w:val="StringTok"/>
        </w:rPr>
        <w:t xml:space="preserve">""</w:t>
      </w:r>
      <w:r>
        <w:br/>
      </w:r>
      <w:r>
        <w:rPr>
          <w:rStyle w:val="FunctionTok"/>
        </w:rPr>
        <w:t xml:space="preserve">court</w:t>
      </w:r>
      <w:r>
        <w:rPr>
          <w:rStyle w:val="KeywordTok"/>
        </w:rPr>
        <w:t xml:space="preserve">:</w:t>
      </w:r>
      <w:r>
        <w:rPr>
          <w:rStyle w:val="AttributeTok"/>
        </w:rPr>
        <w:t xml:space="preserve"> </w:t>
      </w:r>
      <w:r>
        <w:rPr>
          <w:rStyle w:val="StringTok"/>
        </w:rPr>
        <w:t xml:space="preserve">""</w:t>
      </w:r>
      <w:r>
        <w:br/>
      </w:r>
      <w:r>
        <w:rPr>
          <w:rStyle w:val="FunctionTok"/>
        </w:rPr>
        <w:t xml:space="preserve">doctrines</w:t>
      </w:r>
      <w:r>
        <w:rPr>
          <w:rStyle w:val="KeywordTok"/>
        </w:rPr>
        <w:t xml:space="preserve">:</w:t>
      </w:r>
      <w:r>
        <w:rPr>
          <w:rStyle w:val="AttributeTok"/>
        </w:rPr>
        <w:t xml:space="preserve"> </w:t>
      </w:r>
      <w:r>
        <w:rPr>
          <w:rStyle w:val="KeywordTok"/>
        </w:rPr>
        <w:t xml:space="preserve">[]</w:t>
      </w:r>
      <w:r>
        <w:br/>
      </w:r>
      <w:r>
        <w:rPr>
          <w:rStyle w:val="FunctionTok"/>
        </w:rPr>
        <w:t xml:space="preserve">concepts</w:t>
      </w:r>
      <w:r>
        <w:rPr>
          <w:rStyle w:val="KeywordTok"/>
        </w:rPr>
        <w:t xml:space="preserve">:</w:t>
      </w:r>
      <w:r>
        <w:rPr>
          <w:rStyle w:val="AttributeTok"/>
        </w:rPr>
        <w:t xml:space="preserve"> </w:t>
      </w:r>
      <w:r>
        <w:rPr>
          <w:rStyle w:val="KeywordTok"/>
        </w:rPr>
        <w:t xml:space="preserve">[]</w:t>
      </w:r>
      <w:r>
        <w:br/>
      </w:r>
      <w:r>
        <w:rPr>
          <w:rStyle w:val="FunctionTok"/>
        </w:rPr>
        <w:t xml:space="preserve">status</w:t>
      </w:r>
      <w:r>
        <w:rPr>
          <w:rStyle w:val="KeywordTok"/>
        </w:rPr>
        <w:t xml:space="preserve">:</w:t>
      </w:r>
      <w:r>
        <w:rPr>
          <w:rStyle w:val="AttributeTok"/>
        </w:rPr>
        <w:t xml:space="preserve"> </w:t>
      </w:r>
      <w:r>
        <w:rPr>
          <w:rStyle w:val="StringTok"/>
        </w:rPr>
        <w:t xml:space="preserve">""</w:t>
      </w:r>
      <w:r>
        <w:rPr>
          <w:rStyle w:val="CommentTok"/>
        </w:rPr>
        <w:t xml:space="preserve">           # good law | superseded | overruled | limited | narrowed</w:t>
      </w:r>
      <w:r>
        <w:br/>
      </w:r>
      <w:r>
        <w:rPr>
          <w:rStyle w:val="FunctionTok"/>
        </w:rPr>
        <w:t xml:space="preserve">treatment</w:t>
      </w:r>
      <w:r>
        <w:rPr>
          <w:rStyle w:val="KeywordTok"/>
        </w:rPr>
        <w:t xml:space="preserve">:</w:t>
      </w:r>
      <w:r>
        <w:rPr>
          <w:rStyle w:val="AttributeTok"/>
        </w:rPr>
        <w:t xml:space="preserve"> </w:t>
      </w:r>
      <w:r>
        <w:rPr>
          <w:rStyle w:val="StringTok"/>
        </w:rPr>
        <w:t xml:space="preserve">""</w:t>
      </w:r>
      <w:r>
        <w:rPr>
          <w:rStyle w:val="CommentTok"/>
        </w:rPr>
        <w:t xml:space="preserve">        # Neutral | Positive | Negative | Cautionary</w:t>
      </w:r>
      <w:r>
        <w:br/>
      </w:r>
      <w:r>
        <w:rPr>
          <w:rStyle w:val="FunctionTok"/>
        </w:rPr>
        <w:t xml:space="preserve">cited_by</w:t>
      </w:r>
      <w:r>
        <w:rPr>
          <w:rStyle w:val="KeywordTok"/>
        </w:rPr>
        <w:t xml:space="preserve">:</w:t>
      </w:r>
      <w:r>
        <w:rPr>
          <w:rStyle w:val="AttributeTok"/>
        </w:rPr>
        <w:t xml:space="preserve"> </w:t>
      </w:r>
      <w:r>
        <w:rPr>
          <w:rStyle w:val="StringTok"/>
        </w:rPr>
        <w:t xml:space="preserve">""</w:t>
      </w:r>
      <w:r>
        <w:rPr>
          <w:rStyle w:val="CommentTok"/>
        </w:rPr>
        <w:t xml:space="preserve">         # integer from CourtListener; never guessed</w:t>
      </w:r>
      <w:r>
        <w:br/>
      </w:r>
      <w:r>
        <w:rPr>
          <w:rStyle w:val="FunctionTok"/>
        </w:rPr>
        <w:t xml:space="preserve">midpage_id</w:t>
      </w:r>
      <w:r>
        <w:rPr>
          <w:rStyle w:val="KeywordTok"/>
        </w:rPr>
        <w:t xml:space="preserve">:</w:t>
      </w:r>
      <w:r>
        <w:rPr>
          <w:rStyle w:val="AttributeTok"/>
        </w:rPr>
        <w:t xml:space="preserve"> </w:t>
      </w:r>
      <w:r>
        <w:rPr>
          <w:rStyle w:val="StringTok"/>
        </w:rPr>
        <w:t xml:space="preserve">""</w:t>
      </w:r>
      <w:r>
        <w:br/>
      </w:r>
      <w:r>
        <w:rPr>
          <w:rStyle w:val="FunctionTok"/>
        </w:rPr>
        <w:t xml:space="preserve">midpage_url</w:t>
      </w:r>
      <w:r>
        <w:rPr>
          <w:rStyle w:val="KeywordTok"/>
        </w:rPr>
        <w:t xml:space="preserve">:</w:t>
      </w:r>
      <w:r>
        <w:rPr>
          <w:rStyle w:val="AttributeTok"/>
        </w:rPr>
        <w:t xml:space="preserve"> </w:t>
      </w:r>
      <w:r>
        <w:rPr>
          <w:rStyle w:val="StringTok"/>
        </w:rPr>
        <w:t xml:space="preserve">""</w:t>
      </w:r>
      <w:r>
        <w:br/>
      </w:r>
      <w:r>
        <w:rPr>
          <w:rStyle w:val="FunctionTok"/>
        </w:rPr>
        <w:t xml:space="preserve">verified</w:t>
      </w:r>
      <w:r>
        <w:rPr>
          <w:rStyle w:val="KeywordTok"/>
        </w:rPr>
        <w:t xml:space="preserve">:</w:t>
      </w:r>
      <w:r>
        <w:rPr>
          <w:rStyle w:val="AttributeTok"/>
        </w:rPr>
        <w:t xml:space="preserve"> </w:t>
      </w:r>
      <w:r>
        <w:rPr>
          <w:rStyle w:val="StringTok"/>
        </w:rPr>
        <w:t xml:space="preserve">""</w:t>
      </w:r>
      <w:r>
        <w:rPr>
          <w:rStyle w:val="CommentTok"/>
        </w:rPr>
        <w:t xml:space="preserve">         # YYYY-MM-DD</w:t>
      </w:r>
      <w:r>
        <w:br/>
      </w:r>
      <w:r>
        <w:rPr>
          <w:rStyle w:val="FunctionTok"/>
        </w:rPr>
        <w:t xml:space="preserve">source_files</w:t>
      </w:r>
      <w:r>
        <w:rPr>
          <w:rStyle w:val="KeywordTok"/>
        </w:rPr>
        <w:t xml:space="preserve">:</w:t>
      </w:r>
      <w:r>
        <w:rPr>
          <w:rStyle w:val="AttributeTok"/>
        </w:rPr>
        <w:t xml:space="preserve"> </w:t>
      </w:r>
      <w:r>
        <w:rPr>
          <w:rStyle w:val="KeywordTok"/>
        </w:rPr>
        <w:t xml:space="preserve">[]</w:t>
      </w:r>
      <w:r>
        <w:br/>
      </w:r>
      <w:r>
        <w:rPr>
          <w:rStyle w:val="CommentTok"/>
        </w:rPr>
        <w:t xml:space="preserve">## Holding-bar fields (rendered as a banner above the prose)</w:t>
      </w:r>
      <w:r>
        <w:br/>
      </w:r>
      <w:r>
        <w:rPr>
          <w:rStyle w:val="FunctionTok"/>
        </w:rPr>
        <w:t xml:space="preserve">issue</w:t>
      </w:r>
      <w:r>
        <w:rPr>
          <w:rStyle w:val="KeywordTok"/>
        </w:rPr>
        <w:t xml:space="preserve">:</w:t>
      </w:r>
      <w:r>
        <w:rPr>
          <w:rStyle w:val="AttributeTok"/>
        </w:rPr>
        <w:t xml:space="preserve"> </w:t>
      </w:r>
      <w:r>
        <w:rPr>
          <w:rStyle w:val="StringTok"/>
        </w:rPr>
        <w:t xml:space="preserve">""</w:t>
      </w:r>
      <w:r>
        <w:br/>
      </w:r>
      <w:r>
        <w:rPr>
          <w:rStyle w:val="FunctionTok"/>
        </w:rPr>
        <w:t xml:space="preserve">holding</w:t>
      </w:r>
      <w:r>
        <w:rPr>
          <w:rStyle w:val="KeywordTok"/>
        </w:rPr>
        <w:t xml:space="preserve">:</w:t>
      </w:r>
      <w:r>
        <w:rPr>
          <w:rStyle w:val="AttributeTok"/>
        </w:rPr>
        <w:t xml:space="preserve"> </w:t>
      </w:r>
      <w:r>
        <w:rPr>
          <w:rStyle w:val="StringTok"/>
        </w:rPr>
        <w:t xml:space="preserve">""</w:t>
      </w:r>
      <w:r>
        <w:br/>
      </w:r>
      <w:r>
        <w:rPr>
          <w:rStyle w:val="FunctionTok"/>
        </w:rPr>
        <w:t xml:space="preserve">reasoning</w:t>
      </w:r>
      <w:r>
        <w:rPr>
          <w:rStyle w:val="KeywordTok"/>
        </w:rPr>
        <w:t xml:space="preserve">:</w:t>
      </w:r>
      <w:r>
        <w:rPr>
          <w:rStyle w:val="AttributeTok"/>
        </w:rPr>
        <w:t xml:space="preserve"> </w:t>
      </w:r>
      <w:r>
        <w:rPr>
          <w:rStyle w:val="StringTok"/>
        </w:rPr>
        <w:t xml:space="preserve">""</w:t>
      </w:r>
      <w:r>
        <w:br/>
      </w:r>
      <w:r>
        <w:rPr>
          <w:rStyle w:val="FunctionTok"/>
        </w:rPr>
        <w:t xml:space="preserve">doctrine_family</w:t>
      </w:r>
      <w:r>
        <w:rPr>
          <w:rStyle w:val="KeywordTok"/>
        </w:rPr>
        <w:t xml:space="preserve">:</w:t>
      </w:r>
      <w:r>
        <w:rPr>
          <w:rStyle w:val="AttributeTok"/>
        </w:rPr>
        <w:t xml:space="preserve"> </w:t>
      </w:r>
      <w:r>
        <w:rPr>
          <w:rStyle w:val="StringTok"/>
        </w:rPr>
        <w:t xml:space="preserve">""</w:t>
      </w:r>
      <w:r>
        <w:rPr>
          <w:rStyle w:val="CommentTok"/>
        </w:rPr>
        <w:t xml:space="preserve">  # Federalism | Separation of Powers | Individual Rights | Justiciability</w:t>
      </w:r>
      <w:r>
        <w:br/>
      </w:r>
      <w:r>
        <w:rPr>
          <w:rStyle w:val="CommentTok"/>
        </w:rPr>
        <w:t xml:space="preserve">## Citation metadata (Ingest fills the opinion face; Enrich completes)</w:t>
      </w:r>
      <w:r>
        <w:br/>
      </w:r>
      <w:r>
        <w:rPr>
          <w:rStyle w:val="FunctionTok"/>
        </w:rPr>
        <w:t xml:space="preserve">argued</w:t>
      </w:r>
      <w:r>
        <w:rPr>
          <w:rStyle w:val="KeywordTok"/>
        </w:rPr>
        <w:t xml:space="preserve">:</w:t>
      </w:r>
      <w:r>
        <w:rPr>
          <w:rStyle w:val="AttributeTok"/>
        </w:rPr>
        <w:t xml:space="preserve"> </w:t>
      </w:r>
      <w:r>
        <w:rPr>
          <w:rStyle w:val="StringTok"/>
        </w:rPr>
        <w:t xml:space="preserve">""</w:t>
      </w:r>
      <w:r>
        <w:br/>
      </w:r>
      <w:r>
        <w:rPr>
          <w:rStyle w:val="FunctionTok"/>
        </w:rPr>
        <w:t xml:space="preserve">decided</w:t>
      </w:r>
      <w:r>
        <w:rPr>
          <w:rStyle w:val="KeywordTok"/>
        </w:rPr>
        <w:t xml:space="preserve">:</w:t>
      </w:r>
      <w:r>
        <w:rPr>
          <w:rStyle w:val="AttributeTok"/>
        </w:rPr>
        <w:t xml:space="preserve"> </w:t>
      </w:r>
      <w:r>
        <w:rPr>
          <w:rStyle w:val="StringTok"/>
        </w:rPr>
        <w:t xml:space="preserve">""</w:t>
      </w:r>
      <w:r>
        <w:br/>
      </w:r>
      <w:r>
        <w:rPr>
          <w:rStyle w:val="FunctionTok"/>
        </w:rPr>
        <w:t xml:space="preserve">panel</w:t>
      </w:r>
      <w:r>
        <w:rPr>
          <w:rStyle w:val="KeywordTok"/>
        </w:rPr>
        <w:t xml:space="preserve">:</w:t>
      </w:r>
      <w:r>
        <w:rPr>
          <w:rStyle w:val="AttributeTok"/>
        </w:rPr>
        <w:t xml:space="preserve"> </w:t>
      </w:r>
      <w:r>
        <w:rPr>
          <w:rStyle w:val="StringTok"/>
        </w:rPr>
        <w:t xml:space="preserve">""</w:t>
      </w:r>
      <w:r>
        <w:br/>
      </w:r>
      <w:r>
        <w:rPr>
          <w:rStyle w:val="FunctionTok"/>
        </w:rPr>
        <w:t xml:space="preserve">author</w:t>
      </w:r>
      <w:r>
        <w:rPr>
          <w:rStyle w:val="KeywordTok"/>
        </w:rPr>
        <w:t xml:space="preserve">:</w:t>
      </w:r>
      <w:r>
        <w:rPr>
          <w:rStyle w:val="AttributeTok"/>
        </w:rPr>
        <w:t xml:space="preserve"> </w:t>
      </w:r>
      <w:r>
        <w:rPr>
          <w:rStyle w:val="StringTok"/>
        </w:rPr>
        <w:t xml:space="preserve">""</w:t>
      </w:r>
      <w:r>
        <w:br/>
      </w:r>
      <w:r>
        <w:rPr>
          <w:rStyle w:val="FunctionTok"/>
        </w:rPr>
        <w:t xml:space="preserve">vote</w:t>
      </w:r>
      <w:r>
        <w:rPr>
          <w:rStyle w:val="KeywordTok"/>
        </w:rPr>
        <w:t xml:space="preserve">:</w:t>
      </w:r>
      <w:r>
        <w:rPr>
          <w:rStyle w:val="AttributeTok"/>
        </w:rPr>
        <w:t xml:space="preserve"> </w:t>
      </w:r>
      <w:r>
        <w:rPr>
          <w:rStyle w:val="StringTok"/>
        </w:rPr>
        <w:t xml:space="preserve">""</w:t>
      </w:r>
      <w:r>
        <w:rPr>
          <w:rStyle w:val="CommentTok"/>
        </w:rPr>
        <w:t xml:space="preserve">             # "6-3", "9-0", "per curiam"</w:t>
      </w:r>
      <w:r>
        <w:br/>
      </w:r>
      <w:r>
        <w:rPr>
          <w:rStyle w:val="FunctionTok"/>
        </w:rPr>
        <w:t xml:space="preserve">disposition</w:t>
      </w:r>
      <w:r>
        <w:rPr>
          <w:rStyle w:val="KeywordTok"/>
        </w:rPr>
        <w:t xml:space="preserve">:</w:t>
      </w:r>
      <w:r>
        <w:rPr>
          <w:rStyle w:val="AttributeTok"/>
        </w:rPr>
        <w:t xml:space="preserve"> </w:t>
      </w:r>
      <w:r>
        <w:rPr>
          <w:rStyle w:val="StringTok"/>
        </w:rPr>
        <w:t xml:space="preserve">""</w:t>
      </w:r>
      <w:r>
        <w:br/>
      </w:r>
      <w:r>
        <w:rPr>
          <w:rStyle w:val="CommentTok"/>
        </w:rPr>
        <w:t xml:space="preserve">## Authority lineage (Enrich fills from CourtListener)</w:t>
      </w:r>
      <w:r>
        <w:br/>
      </w:r>
      <w:r>
        <w:rPr>
          <w:rStyle w:val="FunctionTok"/>
        </w:rPr>
        <w:t xml:space="preserve">relies_on</w:t>
      </w:r>
      <w:r>
        <w:rPr>
          <w:rStyle w:val="KeywordTok"/>
        </w:rPr>
        <w:t xml:space="preserve">:</w:t>
      </w:r>
      <w:r>
        <w:rPr>
          <w:rStyle w:val="AttributeTok"/>
        </w:rPr>
        <w:t xml:space="preserve"> </w:t>
      </w:r>
      <w:r>
        <w:rPr>
          <w:rStyle w:val="KeywordTok"/>
        </w:rPr>
        <w:t xml:space="preserve">[]</w:t>
      </w:r>
      <w:r>
        <w:br/>
      </w:r>
      <w:r>
        <w:rPr>
          <w:rStyle w:val="FunctionTok"/>
        </w:rPr>
        <w:t xml:space="preserve">distinguishes</w:t>
      </w:r>
      <w:r>
        <w:rPr>
          <w:rStyle w:val="KeywordTok"/>
        </w:rPr>
        <w:t xml:space="preserve">:</w:t>
      </w:r>
      <w:r>
        <w:rPr>
          <w:rStyle w:val="AttributeTok"/>
        </w:rPr>
        <w:t xml:space="preserve"> </w:t>
      </w:r>
      <w:r>
        <w:rPr>
          <w:rStyle w:val="KeywordTok"/>
        </w:rPr>
        <w:t xml:space="preserve">[]</w:t>
      </w:r>
      <w:r>
        <w:br/>
      </w:r>
      <w:r>
        <w:rPr>
          <w:rStyle w:val="FunctionTok"/>
        </w:rPr>
        <w:t xml:space="preserve">applied_in</w:t>
      </w:r>
      <w:r>
        <w:rPr>
          <w:rStyle w:val="KeywordTok"/>
        </w:rPr>
        <w:t xml:space="preserve">:</w:t>
      </w:r>
      <w:r>
        <w:rPr>
          <w:rStyle w:val="AttributeTok"/>
        </w:rPr>
        <w:t xml:space="preserve"> </w:t>
      </w:r>
      <w:r>
        <w:rPr>
          <w:rStyle w:val="KeywordTok"/>
        </w:rPr>
        <w:t xml:space="preserve">[]</w:t>
      </w:r>
      <w:r>
        <w:br/>
      </w:r>
      <w:r>
        <w:rPr>
          <w:rStyle w:val="FunctionTok"/>
        </w:rPr>
        <w:t xml:space="preserve">overrules</w:t>
      </w:r>
      <w:r>
        <w:rPr>
          <w:rStyle w:val="KeywordTok"/>
        </w:rPr>
        <w:t xml:space="preserve">:</w:t>
      </w:r>
      <w:r>
        <w:rPr>
          <w:rStyle w:val="AttributeTok"/>
        </w:rPr>
        <w:t xml:space="preserve"> </w:t>
      </w:r>
      <w:r>
        <w:rPr>
          <w:rStyle w:val="StringTok"/>
        </w:rPr>
        <w:t xml:space="preserve">""</w:t>
      </w:r>
      <w:r>
        <w:br/>
      </w:r>
      <w:r>
        <w:rPr>
          <w:rStyle w:val="FunctionTok"/>
        </w:rPr>
        <w:t xml:space="preserve">overruled_by</w:t>
      </w:r>
      <w:r>
        <w:rPr>
          <w:rStyle w:val="KeywordTok"/>
        </w:rPr>
        <w:t xml:space="preserve">:</w:t>
      </w:r>
      <w:r>
        <w:rPr>
          <w:rStyle w:val="AttributeTok"/>
        </w:rPr>
        <w:t xml:space="preserve"> </w:t>
      </w:r>
      <w:r>
        <w:rPr>
          <w:rStyle w:val="StringTok"/>
        </w:rPr>
        <w:t xml:space="preserve">""</w:t>
      </w:r>
    </w:p>
    <w:p>
      <w:pPr>
        <w:pStyle w:val="Compact"/>
        <w:numPr>
          <w:ilvl w:val="0"/>
          <w:numId w:val="1003"/>
        </w:numPr>
      </w:pPr>
      <w:r>
        <w:rPr>
          <w:b/>
          <w:bCs/>
        </w:rPr>
        <w:t xml:space="preserve">Body (fixed H2 order):</w:t>
      </w:r>
      <w:r>
        <w:t xml:space="preserve"> </w:t>
      </w:r>
      <w:r>
        <w:t xml:space="preserve">Memory Jogger, Facts, Procedural History, Judicial Votes, Holding, Analysis (Majority required; Concurrence and Dissent optional), Hypothetical Applications (see C.4), Critique (progressive and originalist or textualist views), Key Quotations, Key Points, Connections, Sources.</w:t>
      </w:r>
    </w:p>
    <w:p>
      <w:pPr>
        <w:pStyle w:val="Compact"/>
        <w:numPr>
          <w:ilvl w:val="0"/>
          <w:numId w:val="1003"/>
        </w:numPr>
      </w:pPr>
      <w:r>
        <w:rPr>
          <w:b/>
          <w:bCs/>
        </w:rPr>
        <w:t xml:space="preserve">Purpose:</w:t>
      </w:r>
      <w:r>
        <w:t xml:space="preserve"> </w:t>
      </w:r>
      <w:r>
        <w:t xml:space="preserve">the typed holding-bar and authority-lineage fields let the site render a structured banner and a citation graph without parsing prose; the fixed body order briefs every case to one standard.</w:t>
      </w:r>
    </w:p>
    <w:bookmarkEnd w:id="22"/>
    <w:bookmarkStart w:id="23" w:name="c.2-topic-doctrine-page"/>
    <w:p>
      <w:pPr>
        <w:pStyle w:val="Heading2"/>
      </w:pPr>
      <w:r>
        <w:t xml:space="preserve">C.2 Topic / Doctrine Page</w:t>
      </w:r>
    </w:p>
    <w:p>
      <w:pPr>
        <w:pStyle w:val="Compact"/>
        <w:numPr>
          <w:ilvl w:val="0"/>
          <w:numId w:val="1004"/>
        </w:numPr>
      </w:pPr>
      <w:r>
        <w:rPr>
          <w:b/>
          <w:bCs/>
        </w:rPr>
        <w:t xml:space="preserve">Template:</w:t>
      </w:r>
      <w:r>
        <w:t xml:space="preserve"> </w:t>
      </w:r>
      <w:r>
        <w:rPr>
          <w:rStyle w:val="VerbatimChar"/>
        </w:rPr>
        <w:t xml:space="preserve">Templates/Topic Page.md</w:t>
      </w:r>
      <w:r>
        <w:t xml:space="preserve">; pages live at</w:t>
      </w:r>
      <w:r>
        <w:t xml:space="preserve"> </w:t>
      </w:r>
      <w:r>
        <w:rPr>
          <w:rStyle w:val="VerbatimChar"/>
        </w:rPr>
        <w:t xml:space="preserve">Topics/Topic Name.md</w:t>
      </w:r>
      <w:r>
        <w:t xml:space="preserve">.</w:t>
      </w:r>
    </w:p>
    <w:p>
      <w:pPr>
        <w:pStyle w:val="Compact"/>
        <w:numPr>
          <w:ilvl w:val="0"/>
          <w:numId w:val="1004"/>
        </w:numPr>
      </w:pPr>
      <w:r>
        <w:rPr>
          <w:b/>
          <w:bCs/>
        </w:rPr>
        <w:t xml:space="preserve">Frontmatter</w:t>
      </w:r>
      <w:r>
        <w:t xml:space="preserve"> </w:t>
      </w:r>
      <w:r>
        <w:t xml:space="preserve">(12 fields):</w:t>
      </w:r>
    </w:p>
    <w:p>
      <w:pPr>
        <w:pStyle w:val="SourceCode"/>
      </w:pPr>
      <w:r>
        <w:rPr>
          <w:rStyle w:val="FunctionTok"/>
        </w:rPr>
        <w:t xml:space="preserve">topic_name</w:t>
      </w:r>
      <w:r>
        <w:rPr>
          <w:rStyle w:val="KeywordTok"/>
        </w:rPr>
        <w:t xml:space="preserve">:</w:t>
      </w:r>
      <w:r>
        <w:rPr>
          <w:rStyle w:val="AttributeTok"/>
        </w:rPr>
        <w:t xml:space="preserve"> </w:t>
      </w:r>
      <w:r>
        <w:rPr>
          <w:rStyle w:val="StringTok"/>
        </w:rPr>
        <w:t xml:space="preserve">""</w:t>
      </w:r>
      <w:r>
        <w:rPr>
          <w:rStyle w:val="CommentTok"/>
        </w:rPr>
        <w:t xml:space="preserve">           # equals the H1 and filename stem</w:t>
      </w:r>
      <w:r>
        <w:br/>
      </w:r>
      <w:r>
        <w:rPr>
          <w:rStyle w:val="FunctionTok"/>
        </w:rPr>
        <w:t xml:space="preserve">area</w:t>
      </w:r>
      <w:r>
        <w:rPr>
          <w:rStyle w:val="KeywordTok"/>
        </w:rPr>
        <w:t xml:space="preserve">:</w:t>
      </w:r>
      <w:r>
        <w:rPr>
          <w:rStyle w:val="AttributeTok"/>
        </w:rPr>
        <w:t xml:space="preserve"> </w:t>
      </w:r>
      <w:r>
        <w:rPr>
          <w:rStyle w:val="StringTok"/>
        </w:rPr>
        <w:t xml:space="preserve">""</w:t>
      </w:r>
      <w:r>
        <w:rPr>
          <w:rStyle w:val="CommentTok"/>
        </w:rPr>
        <w:t xml:space="preserve">                 # Federalism | Separation of Powers | Individual Rights | Justiciability</w:t>
      </w:r>
      <w:r>
        <w:br/>
      </w:r>
      <w:r>
        <w:rPr>
          <w:rStyle w:val="FunctionTok"/>
        </w:rPr>
        <w:t xml:space="preserve">family</w:t>
      </w:r>
      <w:r>
        <w:rPr>
          <w:rStyle w:val="KeywordTok"/>
        </w:rPr>
        <w:t xml:space="preserve">:</w:t>
      </w:r>
      <w:r>
        <w:rPr>
          <w:rStyle w:val="AttributeTok"/>
        </w:rPr>
        <w:t xml:space="preserve"> </w:t>
      </w:r>
      <w:r>
        <w:rPr>
          <w:rStyle w:val="StringTok"/>
        </w:rPr>
        <w:t xml:space="preserve">""</w:t>
      </w:r>
      <w:r>
        <w:rPr>
          <w:rStyle w:val="CommentTok"/>
        </w:rPr>
        <w:t xml:space="preserve">               # same four-value enum; drives the four-family grid column</w:t>
      </w:r>
      <w:r>
        <w:br/>
      </w:r>
      <w:r>
        <w:rPr>
          <w:rStyle w:val="FunctionTok"/>
        </w:rPr>
        <w:t xml:space="preserve">constitutional_text</w:t>
      </w:r>
      <w:r>
        <w:rPr>
          <w:rStyle w:val="KeywordTok"/>
        </w:rPr>
        <w:t xml:space="preserve">:</w:t>
      </w:r>
      <w:r>
        <w:rPr>
          <w:rStyle w:val="AttributeTok"/>
        </w:rPr>
        <w:t xml:space="preserve"> </w:t>
      </w:r>
      <w:r>
        <w:rPr>
          <w:rStyle w:val="StringTok"/>
        </w:rPr>
        <w:t xml:space="preserve">""</w:t>
      </w:r>
      <w:r>
        <w:rPr>
          <w:rStyle w:val="CommentTok"/>
        </w:rPr>
        <w:t xml:space="preserve">  # e.g. "Article I Section 8 Clause 3"; "n/a" if none</w:t>
      </w:r>
      <w:r>
        <w:br/>
      </w:r>
      <w:r>
        <w:rPr>
          <w:rStyle w:val="FunctionTok"/>
        </w:rPr>
        <w:t xml:space="preserve">key_cases</w:t>
      </w:r>
      <w:r>
        <w:rPr>
          <w:rStyle w:val="KeywordTok"/>
        </w:rPr>
        <w:t xml:space="preserve">:</w:t>
      </w:r>
      <w:r>
        <w:rPr>
          <w:rStyle w:val="AttributeTok"/>
        </w:rPr>
        <w:t xml:space="preserve"> </w:t>
      </w:r>
      <w:r>
        <w:rPr>
          <w:rStyle w:val="KeywordTok"/>
        </w:rPr>
        <w:t xml:space="preserve">[]</w:t>
      </w:r>
      <w:r>
        <w:rPr>
          <w:rStyle w:val="CommentTok"/>
        </w:rPr>
        <w:t xml:space="preserve">            # ordered most-to-least central</w:t>
      </w:r>
      <w:r>
        <w:br/>
      </w:r>
      <w:r>
        <w:rPr>
          <w:rStyle w:val="FunctionTok"/>
        </w:rPr>
        <w:t xml:space="preserve">key_lectures</w:t>
      </w:r>
      <w:r>
        <w:rPr>
          <w:rStyle w:val="KeywordTok"/>
        </w:rPr>
        <w:t xml:space="preserve">:</w:t>
      </w:r>
      <w:r>
        <w:rPr>
          <w:rStyle w:val="AttributeTok"/>
        </w:rPr>
        <w:t xml:space="preserve"> </w:t>
      </w:r>
      <w:r>
        <w:rPr>
          <w:rStyle w:val="KeywordTok"/>
        </w:rPr>
        <w:t xml:space="preserve">[]</w:t>
      </w:r>
      <w:r>
        <w:br/>
      </w:r>
      <w:r>
        <w:rPr>
          <w:rStyle w:val="FunctionTok"/>
        </w:rPr>
        <w:t xml:space="preserve">related_topics</w:t>
      </w:r>
      <w:r>
        <w:rPr>
          <w:rStyle w:val="KeywordTok"/>
        </w:rPr>
        <w:t xml:space="preserve">:</w:t>
      </w:r>
      <w:r>
        <w:rPr>
          <w:rStyle w:val="AttributeTok"/>
        </w:rPr>
        <w:t xml:space="preserve"> </w:t>
      </w:r>
      <w:r>
        <w:rPr>
          <w:rStyle w:val="KeywordTok"/>
        </w:rPr>
        <w:t xml:space="preserve">[]</w:t>
      </w:r>
      <w:r>
        <w:br/>
      </w:r>
      <w:r>
        <w:rPr>
          <w:rStyle w:val="FunctionTok"/>
        </w:rPr>
        <w:t xml:space="preserve">exam_tested</w:t>
      </w:r>
      <w:r>
        <w:rPr>
          <w:rStyle w:val="KeywordTok"/>
        </w:rPr>
        <w:t xml:space="preserve">:</w:t>
      </w:r>
      <w:r>
        <w:rPr>
          <w:rStyle w:val="AttributeTok"/>
        </w:rPr>
        <w:t xml:space="preserve"> </w:t>
      </w:r>
      <w:r>
        <w:rPr>
          <w:rStyle w:val="StringTok"/>
        </w:rPr>
        <w:t xml:space="preserve">""</w:t>
      </w:r>
      <w:r>
        <w:rPr>
          <w:rStyle w:val="CommentTok"/>
        </w:rPr>
        <w:t xml:space="preserve">          # true | false</w:t>
      </w:r>
      <w:r>
        <w:br/>
      </w:r>
      <w:r>
        <w:rPr>
          <w:rStyle w:val="FunctionTok"/>
        </w:rPr>
        <w:t xml:space="preserve">verified</w:t>
      </w:r>
      <w:r>
        <w:rPr>
          <w:rStyle w:val="KeywordTok"/>
        </w:rPr>
        <w:t xml:space="preserve">:</w:t>
      </w:r>
      <w:r>
        <w:rPr>
          <w:rStyle w:val="AttributeTok"/>
        </w:rPr>
        <w:t xml:space="preserve"> </w:t>
      </w:r>
      <w:r>
        <w:rPr>
          <w:rStyle w:val="StringTok"/>
        </w:rPr>
        <w:t xml:space="preserve">""</w:t>
      </w:r>
      <w:r>
        <w:br/>
      </w:r>
      <w:r>
        <w:rPr>
          <w:rStyle w:val="FunctionTok"/>
        </w:rPr>
        <w:t xml:space="preserve">source_files</w:t>
      </w:r>
      <w:r>
        <w:rPr>
          <w:rStyle w:val="KeywordTok"/>
        </w:rPr>
        <w:t xml:space="preserve">:</w:t>
      </w:r>
      <w:r>
        <w:rPr>
          <w:rStyle w:val="AttributeTok"/>
        </w:rPr>
        <w:t xml:space="preserve"> </w:t>
      </w:r>
      <w:r>
        <w:rPr>
          <w:rStyle w:val="KeywordTok"/>
        </w:rPr>
        <w:t xml:space="preserve">[]</w:t>
      </w:r>
      <w:r>
        <w:rPr>
          <w:rStyle w:val="CommentTok"/>
        </w:rPr>
        <w:t xml:space="preserve">         # upstream Case/ and Lecture/ pages, not raw Source Materials</w:t>
      </w:r>
      <w:r>
        <w:br/>
      </w:r>
      <w:r>
        <w:rPr>
          <w:rStyle w:val="FunctionTok"/>
        </w:rPr>
        <w:t xml:space="preserve">two_part_test</w:t>
      </w:r>
      <w:r>
        <w:rPr>
          <w:rStyle w:val="KeywordTok"/>
        </w:rPr>
        <w:t xml:space="preserve">:</w:t>
      </w:r>
      <w:r>
        <w:rPr>
          <w:rStyle w:val="AttributeTok"/>
        </w:rPr>
        <w:t xml:space="preserve"> </w:t>
      </w:r>
      <w:r>
        <w:rPr>
          <w:rStyle w:val="KeywordTok"/>
        </w:rPr>
        <w:t xml:space="preserve">[]</w:t>
      </w:r>
      <w:r>
        <w:rPr>
          <w:rStyle w:val="CommentTok"/>
        </w:rPr>
        <w:t xml:space="preserve">        # optional spotlight "The test" list</w:t>
      </w:r>
      <w:r>
        <w:br/>
      </w:r>
      <w:r>
        <w:rPr>
          <w:rStyle w:val="FunctionTok"/>
        </w:rPr>
        <w:t xml:space="preserve">open_questions</w:t>
      </w:r>
      <w:r>
        <w:rPr>
          <w:rStyle w:val="KeywordTok"/>
        </w:rPr>
        <w:t xml:space="preserve">:</w:t>
      </w:r>
      <w:r>
        <w:rPr>
          <w:rStyle w:val="AttributeTok"/>
        </w:rPr>
        <w:t xml:space="preserve"> </w:t>
      </w:r>
      <w:r>
        <w:rPr>
          <w:rStyle w:val="KeywordTok"/>
        </w:rPr>
        <w:t xml:space="preserve">[]</w:t>
      </w:r>
      <w:r>
        <w:rPr>
          <w:rStyle w:val="CommentTok"/>
        </w:rPr>
        <w:t xml:space="preserve">       # optional spotlight "Open questions" list</w:t>
      </w:r>
    </w:p>
    <w:p>
      <w:pPr>
        <w:pStyle w:val="Compact"/>
        <w:numPr>
          <w:ilvl w:val="0"/>
          <w:numId w:val="1005"/>
        </w:numPr>
      </w:pPr>
      <w:r>
        <w:rPr>
          <w:b/>
          <w:bCs/>
        </w:rPr>
        <w:t xml:space="preserve">Body (H2 order):</w:t>
      </w:r>
      <w:r>
        <w:t xml:space="preserve"> </w:t>
      </w:r>
      <w:r>
        <w:t xml:space="preserve">Overview, Governing Rule (the test in exam-ready language), Doctrinal Development (cases foundational-first, each back-linked to its brief), Key Cases table, an optional</w:t>
      </w:r>
      <w:r>
        <w:t xml:space="preserve"> </w:t>
      </w:r>
      <w:r>
        <w:rPr>
          <w:rStyle w:val="VerbatimChar"/>
        </w:rPr>
        <w:t xml:space="preserve">## Comparison: &lt;descriptor&gt;</w:t>
      </w:r>
      <w:r>
        <w:t xml:space="preserve"> </w:t>
      </w:r>
      <w:r>
        <w:t xml:space="preserve">slot, Hypothetical Applications (see C.4), How to Spot on an Exam, Critique, Connections, Sources.</w:t>
      </w:r>
    </w:p>
    <w:p>
      <w:pPr>
        <w:pStyle w:val="Compact"/>
        <w:numPr>
          <w:ilvl w:val="0"/>
          <w:numId w:val="1005"/>
        </w:numPr>
      </w:pPr>
      <w:r>
        <w:rPr>
          <w:b/>
          <w:bCs/>
        </w:rPr>
        <w:t xml:space="preserve">Purpose:</w:t>
      </w:r>
      <w:r>
        <w:t xml:space="preserve"> </w:t>
      </w:r>
      <w:r>
        <w:t xml:space="preserve">the synthesis form pulls every brief and lecture touching a doctrine into one doctrinal narrative, which is where the vault stops being a folder of briefs and becomes a study system.</w:t>
      </w:r>
    </w:p>
    <w:bookmarkEnd w:id="23"/>
    <w:bookmarkStart w:id="24" w:name="c.3-lecture-summary"/>
    <w:p>
      <w:pPr>
        <w:pStyle w:val="Heading2"/>
      </w:pPr>
      <w:r>
        <w:t xml:space="preserve">C.3 Lecture Summary</w:t>
      </w:r>
    </w:p>
    <w:p>
      <w:pPr>
        <w:pStyle w:val="Compact"/>
        <w:numPr>
          <w:ilvl w:val="0"/>
          <w:numId w:val="1006"/>
        </w:numPr>
      </w:pPr>
      <w:r>
        <w:rPr>
          <w:b/>
          <w:bCs/>
        </w:rPr>
        <w:t xml:space="preserve">Template:</w:t>
      </w:r>
      <w:r>
        <w:t xml:space="preserve"> </w:t>
      </w:r>
      <w:r>
        <w:rPr>
          <w:rStyle w:val="VerbatimChar"/>
        </w:rPr>
        <w:t xml:space="preserve">Templates/Lecture Summary.md</w:t>
      </w:r>
      <w:r>
        <w:t xml:space="preserve">; pages live at</w:t>
      </w:r>
      <w:r>
        <w:t xml:space="preserve"> </w:t>
      </w:r>
      <w:r>
        <w:rPr>
          <w:rStyle w:val="VerbatimChar"/>
        </w:rPr>
        <w:t xml:space="preserve">Lectures/Lecture Title.md</w:t>
      </w:r>
      <w:r>
        <w:t xml:space="preserve">.</w:t>
      </w:r>
    </w:p>
    <w:p>
      <w:pPr>
        <w:pStyle w:val="Compact"/>
        <w:numPr>
          <w:ilvl w:val="0"/>
          <w:numId w:val="1006"/>
        </w:numPr>
      </w:pPr>
      <w:r>
        <w:rPr>
          <w:b/>
          <w:bCs/>
        </w:rPr>
        <w:t xml:space="preserve">Frontmatter</w:t>
      </w:r>
      <w:r>
        <w:t xml:space="preserve"> </w:t>
      </w:r>
      <w:r>
        <w:t xml:space="preserve">(12 fields):</w:t>
      </w:r>
    </w:p>
    <w:p>
      <w:pPr>
        <w:pStyle w:val="SourceCode"/>
      </w:pPr>
      <w:r>
        <w:rPr>
          <w:rStyle w:val="FunctionTok"/>
        </w:rPr>
        <w:t xml:space="preserve">lecture_title</w:t>
      </w:r>
      <w:r>
        <w:rPr>
          <w:rStyle w:val="KeywordTok"/>
        </w:rPr>
        <w:t xml:space="preserve">:</w:t>
      </w:r>
      <w:r>
        <w:rPr>
          <w:rStyle w:val="AttributeTok"/>
        </w:rPr>
        <w:t xml:space="preserve"> </w:t>
      </w:r>
      <w:r>
        <w:rPr>
          <w:rStyle w:val="StringTok"/>
        </w:rPr>
        <w:t xml:space="preserve">""</w:t>
      </w:r>
      <w:r>
        <w:rPr>
          <w:rStyle w:val="CommentTok"/>
        </w:rPr>
        <w:t xml:space="preserve">    # equals the H1 and filename stem</w:t>
      </w:r>
      <w:r>
        <w:br/>
      </w:r>
      <w:r>
        <w:rPr>
          <w:rStyle w:val="FunctionTok"/>
        </w:rPr>
        <w:t xml:space="preserve">type</w:t>
      </w:r>
      <w:r>
        <w:rPr>
          <w:rStyle w:val="KeywordTok"/>
        </w:rPr>
        <w:t xml:space="preserve">:</w:t>
      </w:r>
      <w:r>
        <w:rPr>
          <w:rStyle w:val="AttributeTok"/>
        </w:rPr>
        <w:t xml:space="preserve"> </w:t>
      </w:r>
      <w:r>
        <w:rPr>
          <w:rStyle w:val="StringTok"/>
        </w:rPr>
        <w:t xml:space="preserve">""</w:t>
      </w:r>
      <w:r>
        <w:rPr>
          <w:rStyle w:val="CommentTok"/>
        </w:rPr>
        <w:t xml:space="preserve">             # lecture | class-recap | review-session</w:t>
      </w:r>
      <w:r>
        <w:br/>
      </w:r>
      <w:r>
        <w:rPr>
          <w:rStyle w:val="FunctionTok"/>
        </w:rPr>
        <w:t xml:space="preserve">topic_area</w:t>
      </w:r>
      <w:r>
        <w:rPr>
          <w:rStyle w:val="KeywordTok"/>
        </w:rPr>
        <w:t xml:space="preserve">:</w:t>
      </w:r>
      <w:r>
        <w:rPr>
          <w:rStyle w:val="AttributeTok"/>
        </w:rPr>
        <w:t xml:space="preserve"> </w:t>
      </w:r>
      <w:r>
        <w:rPr>
          <w:rStyle w:val="StringTok"/>
        </w:rPr>
        <w:t xml:space="preserve">""</w:t>
      </w:r>
      <w:r>
        <w:rPr>
          <w:rStyle w:val="CommentTok"/>
        </w:rPr>
        <w:t xml:space="preserve">       # align with an existing Topics/ page name</w:t>
      </w:r>
      <w:r>
        <w:br/>
      </w:r>
      <w:r>
        <w:rPr>
          <w:rStyle w:val="FunctionTok"/>
        </w:rPr>
        <w:t xml:space="preserve">theme</w:t>
      </w:r>
      <w:r>
        <w:rPr>
          <w:rStyle w:val="KeywordTok"/>
        </w:rPr>
        <w:t xml:space="preserve">:</w:t>
      </w:r>
      <w:r>
        <w:rPr>
          <w:rStyle w:val="AttributeTok"/>
        </w:rPr>
        <w:t xml:space="preserve"> </w:t>
      </w:r>
      <w:r>
        <w:rPr>
          <w:rStyle w:val="StringTok"/>
        </w:rPr>
        <w:t xml:space="preserve">""</w:t>
      </w:r>
      <w:r>
        <w:rPr>
          <w:rStyle w:val="CommentTok"/>
        </w:rPr>
        <w:t xml:space="preserve">            # timeline-legend label; usually equals topic_area</w:t>
      </w:r>
      <w:r>
        <w:br/>
      </w:r>
      <w:r>
        <w:rPr>
          <w:rStyle w:val="FunctionTok"/>
        </w:rPr>
        <w:t xml:space="preserve">week</w:t>
      </w:r>
      <w:r>
        <w:rPr>
          <w:rStyle w:val="KeywordTok"/>
        </w:rPr>
        <w:t xml:space="preserve">:</w:t>
      </w:r>
      <w:r>
        <w:rPr>
          <w:rStyle w:val="AttributeTok"/>
        </w:rPr>
        <w:t xml:space="preserve"> </w:t>
      </w:r>
      <w:r>
        <w:rPr>
          <w:rStyle w:val="CharTok"/>
        </w:rPr>
        <w:t xml:space="preserve">null</w:t>
      </w:r>
      <w:r>
        <w:rPr>
          <w:rStyle w:val="CommentTok"/>
        </w:rPr>
        <w:t xml:space="preserve">           # integer 1-14; drives the W## timeline column</w:t>
      </w:r>
      <w:r>
        <w:br/>
      </w:r>
      <w:r>
        <w:rPr>
          <w:rStyle w:val="FunctionTok"/>
        </w:rPr>
        <w:t xml:space="preserve">cases_discussed</w:t>
      </w:r>
      <w:r>
        <w:rPr>
          <w:rStyle w:val="KeywordTok"/>
        </w:rPr>
        <w:t xml:space="preserve">:</w:t>
      </w:r>
      <w:r>
        <w:rPr>
          <w:rStyle w:val="AttributeTok"/>
        </w:rPr>
        <w:t xml:space="preserve"> </w:t>
      </w:r>
      <w:r>
        <w:rPr>
          <w:rStyle w:val="KeywordTok"/>
        </w:rPr>
        <w:t xml:space="preserve">[]</w:t>
      </w:r>
      <w:r>
        <w:br/>
      </w:r>
      <w:r>
        <w:rPr>
          <w:rStyle w:val="FunctionTok"/>
        </w:rPr>
        <w:t xml:space="preserve">cases_covered</w:t>
      </w:r>
      <w:r>
        <w:rPr>
          <w:rStyle w:val="KeywordTok"/>
        </w:rPr>
        <w:t xml:space="preserve">:</w:t>
      </w:r>
      <w:r>
        <w:rPr>
          <w:rStyle w:val="AttributeTok"/>
        </w:rPr>
        <w:t xml:space="preserve"> </w:t>
      </w:r>
      <w:r>
        <w:rPr>
          <w:rStyle w:val="KeywordTok"/>
        </w:rPr>
        <w:t xml:space="preserve">[]</w:t>
      </w:r>
      <w:r>
        <w:rPr>
          <w:rStyle w:val="CommentTok"/>
        </w:rPr>
        <w:t xml:space="preserve">    # canonical list used by the site redesign</w:t>
      </w:r>
      <w:r>
        <w:br/>
      </w:r>
      <w:r>
        <w:rPr>
          <w:rStyle w:val="FunctionTok"/>
        </w:rPr>
        <w:t xml:space="preserve">date</w:t>
      </w:r>
      <w:r>
        <w:rPr>
          <w:rStyle w:val="KeywordTok"/>
        </w:rPr>
        <w:t xml:space="preserve">:</w:t>
      </w:r>
      <w:r>
        <w:rPr>
          <w:rStyle w:val="AttributeTok"/>
        </w:rPr>
        <w:t xml:space="preserve"> </w:t>
      </w:r>
      <w:r>
        <w:rPr>
          <w:rStyle w:val="StringTok"/>
        </w:rPr>
        <w:t xml:space="preserve">""</w:t>
      </w:r>
      <w:r>
        <w:br/>
      </w:r>
      <w:r>
        <w:rPr>
          <w:rStyle w:val="FunctionTok"/>
        </w:rPr>
        <w:t xml:space="preserve">is_current</w:t>
      </w:r>
      <w:r>
        <w:rPr>
          <w:rStyle w:val="KeywordTok"/>
        </w:rPr>
        <w:t xml:space="preserve">:</w:t>
      </w:r>
      <w:r>
        <w:rPr>
          <w:rStyle w:val="AttributeTok"/>
        </w:rPr>
        <w:t xml:space="preserve"> </w:t>
      </w:r>
      <w:r>
        <w:rPr>
          <w:rStyle w:val="CharTok"/>
        </w:rPr>
        <w:t xml:space="preserve">false</w:t>
      </w:r>
      <w:r>
        <w:rPr>
          <w:rStyle w:val="CommentTok"/>
        </w:rPr>
        <w:t xml:space="preserve">    # true on the most-recent past lecture</w:t>
      </w:r>
      <w:r>
        <w:br/>
      </w:r>
      <w:r>
        <w:rPr>
          <w:rStyle w:val="FunctionTok"/>
        </w:rPr>
        <w:t xml:space="preserve">is_upcoming</w:t>
      </w:r>
      <w:r>
        <w:rPr>
          <w:rStyle w:val="KeywordTok"/>
        </w:rPr>
        <w:t xml:space="preserve">:</w:t>
      </w:r>
      <w:r>
        <w:rPr>
          <w:rStyle w:val="AttributeTok"/>
        </w:rPr>
        <w:t xml:space="preserve"> </w:t>
      </w:r>
      <w:r>
        <w:rPr>
          <w:rStyle w:val="CharTok"/>
        </w:rPr>
        <w:t xml:space="preserve">false</w:t>
      </w:r>
      <w:r>
        <w:rPr>
          <w:rStyle w:val="CommentTok"/>
        </w:rPr>
        <w:t xml:space="preserve">   # true on future lectures (hollow timeline dot)</w:t>
      </w:r>
      <w:r>
        <w:br/>
      </w:r>
      <w:r>
        <w:rPr>
          <w:rStyle w:val="FunctionTok"/>
        </w:rPr>
        <w:t xml:space="preserve">verified</w:t>
      </w:r>
      <w:r>
        <w:rPr>
          <w:rStyle w:val="KeywordTok"/>
        </w:rPr>
        <w:t xml:space="preserve">:</w:t>
      </w:r>
      <w:r>
        <w:rPr>
          <w:rStyle w:val="AttributeTok"/>
        </w:rPr>
        <w:t xml:space="preserve"> </w:t>
      </w:r>
      <w:r>
        <w:rPr>
          <w:rStyle w:val="StringTok"/>
        </w:rPr>
        <w:t xml:space="preserve">""</w:t>
      </w:r>
      <w:r>
        <w:br/>
      </w:r>
      <w:r>
        <w:rPr>
          <w:rStyle w:val="FunctionTok"/>
        </w:rPr>
        <w:t xml:space="preserve">source_files</w:t>
      </w:r>
      <w:r>
        <w:rPr>
          <w:rStyle w:val="KeywordTok"/>
        </w:rPr>
        <w:t xml:space="preserve">:</w:t>
      </w:r>
      <w:r>
        <w:rPr>
          <w:rStyle w:val="AttributeTok"/>
        </w:rPr>
        <w:t xml:space="preserve"> </w:t>
      </w:r>
      <w:r>
        <w:rPr>
          <w:rStyle w:val="KeywordTok"/>
        </w:rPr>
        <w:t xml:space="preserve">[]</w:t>
      </w:r>
      <w:r>
        <w:rPr>
          <w:rStyle w:val="CommentTok"/>
        </w:rPr>
        <w:t xml:space="preserve">     # usually one slide deck in Source Materials/</w:t>
      </w:r>
    </w:p>
    <w:p>
      <w:pPr>
        <w:pStyle w:val="Compact"/>
        <w:numPr>
          <w:ilvl w:val="0"/>
          <w:numId w:val="1007"/>
        </w:numPr>
      </w:pPr>
      <w:r>
        <w:rPr>
          <w:b/>
          <w:bCs/>
        </w:rPr>
        <w:t xml:space="preserve">Body (H2 order):</w:t>
      </w:r>
      <w:r>
        <w:t xml:space="preserve"> </w:t>
      </w:r>
      <w:r>
        <w:t xml:space="preserve">Professor Emphasis, Lecture Outline, Cases Discussed table, Hypotheticals and Class Discussion, Key Takeaways, Connections, Sources.</w:t>
      </w:r>
    </w:p>
    <w:p>
      <w:pPr>
        <w:pStyle w:val="Compact"/>
        <w:numPr>
          <w:ilvl w:val="0"/>
          <w:numId w:val="1007"/>
        </w:numPr>
      </w:pPr>
      <w:r>
        <w:rPr>
          <w:b/>
          <w:bCs/>
        </w:rPr>
        <w:t xml:space="preserve">Purpose:</w:t>
      </w:r>
      <w:r>
        <w:t xml:space="preserve"> </w:t>
      </w:r>
      <w:r>
        <w:t xml:space="preserve">preserves the live-class framing, reading order, and timeline position the casebook does not carry, so a student who missed a session can recover the professor’s emphasis.</w:t>
      </w:r>
    </w:p>
    <w:bookmarkEnd w:id="24"/>
    <w:bookmarkStart w:id="25" w:name="c.4-hypothetical-applications-block"/>
    <w:p>
      <w:pPr>
        <w:pStyle w:val="Heading2"/>
      </w:pPr>
      <w:r>
        <w:t xml:space="preserve">C.4 Hypothetical Applications block</w:t>
      </w:r>
    </w:p>
    <w:p>
      <w:pPr>
        <w:pStyle w:val="FirstParagraph"/>
      </w:pPr>
      <w:r>
        <w:t xml:space="preserve">A shared H2 embedded in both the Case and Topic pages, not a standalone template file. It carries five reasoned hypotheticals in three buckets: two Same-Side (the rule applied to fresh facts), two Opposite-Side (a single distinguishing fact flips the result), and one Fence-Sitter (genuinely contested). Each pairs a</w:t>
      </w:r>
      <w:r>
        <w:t xml:space="preserve"> </w:t>
      </w:r>
      <w:r>
        <w:rPr>
          <w:rStyle w:val="VerbatimChar"/>
        </w:rPr>
        <w:t xml:space="preserve">**Hypo:**</w:t>
      </w:r>
      <w:r>
        <w:t xml:space="preserve"> </w:t>
      </w:r>
      <w:r>
        <w:t xml:space="preserve">fact pattern with a</w:t>
      </w:r>
      <w:r>
        <w:t xml:space="preserve"> </w:t>
      </w:r>
      <w:r>
        <w:rPr>
          <w:rStyle w:val="VerbatimChar"/>
        </w:rPr>
        <w:t xml:space="preserve">**Why:**</w:t>
      </w:r>
      <w:r>
        <w:t xml:space="preserve"> </w:t>
      </w:r>
      <w:r>
        <w:t xml:space="preserve">line naming the controlling doctrinal move. It is the vault’s signature exam-preparation affordance.</w:t>
      </w:r>
    </w:p>
    <w:bookmarkEnd w:id="25"/>
    <w:bookmarkStart w:id="26" w:name="Xb34dc41b29998b26203d24a00ff6b43edd65380"/>
    <w:p>
      <w:pPr>
        <w:pStyle w:val="Heading2"/>
      </w:pPr>
      <w:r>
        <w:t xml:space="preserve">C.5 Cross-reference and provenance conventions</w:t>
      </w:r>
    </w:p>
    <w:p>
      <w:pPr>
        <w:pStyle w:val="Compact"/>
        <w:numPr>
          <w:ilvl w:val="0"/>
          <w:numId w:val="1008"/>
        </w:numPr>
      </w:pPr>
      <w:r>
        <w:t xml:space="preserve">Wiki-links take the form</w:t>
      </w:r>
      <w:r>
        <w:t xml:space="preserve"> </w:t>
      </w:r>
      <w:r>
        <w:rPr>
          <w:rStyle w:val="VerbatimChar"/>
        </w:rPr>
        <w:t xml:space="preserve">[[folder/filename|Display Text]]</w:t>
      </w:r>
      <w:r>
        <w:t xml:space="preserve">; the build emits anchor tags from them. Inside a table cell the display pipe must be escaped (</w:t>
      </w:r>
      <w:r>
        <w:rPr>
          <w:rStyle w:val="VerbatimChar"/>
        </w:rPr>
        <w:t xml:space="preserve">[[Cases/Foo\|Link]]</w:t>
      </w:r>
      <w:r>
        <w:t xml:space="preserve">).</w:t>
      </w:r>
    </w:p>
    <w:p>
      <w:pPr>
        <w:pStyle w:val="Compact"/>
        <w:numPr>
          <w:ilvl w:val="0"/>
          <w:numId w:val="1008"/>
        </w:numPr>
      </w:pPr>
      <w:r>
        <w:t xml:space="preserve">Tags are lowercase-hyphenated and placed at file end before the closing</w:t>
      </w:r>
      <w:r>
        <w:t xml:space="preserve"> </w:t>
      </w:r>
      <w:r>
        <w:rPr>
          <w:rStyle w:val="VerbatimChar"/>
        </w:rPr>
        <w:t xml:space="preserve">---</w:t>
      </w:r>
      <w:r>
        <w:t xml:space="preserve"> </w:t>
      </w:r>
      <w:r>
        <w:t xml:space="preserve">(</w:t>
      </w:r>
      <w:r>
        <w:rPr>
          <w:rStyle w:val="VerbatimChar"/>
        </w:rPr>
        <w:t xml:space="preserve">#con-law-i #case</w:t>
      </w:r>
      <w:r>
        <w:t xml:space="preserve">,</w:t>
      </w:r>
      <w:r>
        <w:t xml:space="preserve"> </w:t>
      </w:r>
      <w:r>
        <w:rPr>
          <w:rStyle w:val="VerbatimChar"/>
        </w:rPr>
        <w:t xml:space="preserve">#con-law-i #topic</w:t>
      </w:r>
      <w:r>
        <w:t xml:space="preserve">,</w:t>
      </w:r>
      <w:r>
        <w:t xml:space="preserve"> </w:t>
      </w:r>
      <w:r>
        <w:rPr>
          <w:rStyle w:val="VerbatimChar"/>
        </w:rPr>
        <w:t xml:space="preserve">#con-law-i #lecture</w:t>
      </w:r>
      <w:r>
        <w:t xml:space="preserve">).</w:t>
      </w:r>
    </w:p>
    <w:p>
      <w:pPr>
        <w:pStyle w:val="Compact"/>
        <w:numPr>
          <w:ilvl w:val="0"/>
          <w:numId w:val="1008"/>
        </w:numPr>
      </w:pPr>
      <w:r>
        <w:t xml:space="preserve">Every page keeps its</w:t>
      </w:r>
      <w:r>
        <w:t xml:space="preserve"> </w:t>
      </w:r>
      <w:r>
        <w:rPr>
          <w:rStyle w:val="VerbatimChar"/>
        </w:rPr>
        <w:t xml:space="preserve">source_files</w:t>
      </w:r>
      <w:r>
        <w:t xml:space="preserve"> </w:t>
      </w:r>
      <w:r>
        <w:t xml:space="preserve">frontmatter and its</w:t>
      </w:r>
      <w:r>
        <w:t xml:space="preserve"> </w:t>
      </w:r>
      <w:r>
        <w:rPr>
          <w:rStyle w:val="VerbatimChar"/>
        </w:rPr>
        <w:t xml:space="preserve">## Sources</w:t>
      </w:r>
      <w:r>
        <w:t xml:space="preserve"> </w:t>
      </w:r>
      <w:r>
        <w:t xml:space="preserve">footer in lockstep. Cases and Lectures attribute upward to</w:t>
      </w:r>
      <w:r>
        <w:t xml:space="preserve"> </w:t>
      </w:r>
      <w:r>
        <w:rPr>
          <w:rStyle w:val="VerbatimChar"/>
        </w:rPr>
        <w:t xml:space="preserve">Source Materials/</w:t>
      </w:r>
      <w:r>
        <w:t xml:space="preserve"> </w:t>
      </w:r>
      <w:r>
        <w:t xml:space="preserve">and render those entries as wikilinks the build rewrites into download links; Midpage opinion records stay as inline code because no file sits on disk. Topics attribute instead to the Case and Lecture pages consulted.</w:t>
      </w:r>
    </w:p>
    <w:p>
      <w:pPr>
        <w:pStyle w:val="Compact"/>
        <w:numPr>
          <w:ilvl w:val="0"/>
          <w:numId w:val="1008"/>
        </w:numPr>
      </w:pPr>
      <w:r>
        <w:t xml:space="preserve">The filename, the single H1, and the frontmatter name field (</w:t>
      </w:r>
      <w:r>
        <w:rPr>
          <w:rStyle w:val="VerbatimChar"/>
        </w:rPr>
        <w:t xml:space="preserve">case_name</w:t>
      </w:r>
      <w:r>
        <w:t xml:space="preserve">,</w:t>
      </w:r>
      <w:r>
        <w:t xml:space="preserve"> </w:t>
      </w:r>
      <w:r>
        <w:rPr>
          <w:rStyle w:val="VerbatimChar"/>
        </w:rPr>
        <w:t xml:space="preserve">topic_name</w:t>
      </w:r>
      <w:r>
        <w:t xml:space="preserve">,</w:t>
      </w:r>
      <w:r>
        <w:t xml:space="preserve"> </w:t>
      </w:r>
      <w:r>
        <w:rPr>
          <w:rStyle w:val="VerbatimChar"/>
        </w:rPr>
        <w:t xml:space="preserve">lecture_title</w:t>
      </w:r>
      <w:r>
        <w:t xml:space="preserve">) must all agree, with no periods (</w:t>
      </w:r>
      <w:r>
        <w:rPr>
          <w:rStyle w:val="VerbatimChar"/>
        </w:rPr>
        <w:t xml:space="preserve">v Madison</w:t>
      </w:r>
      <w:r>
        <w:t xml:space="preserve">, not</w:t>
      </w:r>
      <w:r>
        <w:t xml:space="preserve"> </w:t>
      </w:r>
      <w:r>
        <w:rPr>
          <w:rStyle w:val="VerbatimChar"/>
        </w:rPr>
        <w:t xml:space="preserve">v. Madison</w:t>
      </w:r>
      <w:r>
        <w:t xml:space="preserve">) and</w:t>
      </w:r>
      <w:r>
        <w:t xml:space="preserve"> </w:t>
      </w:r>
      <w:r>
        <w:rPr>
          <w:rStyle w:val="VerbatimChar"/>
        </w:rPr>
        <w:t xml:space="preserve">and</w:t>
      </w:r>
      <w:r>
        <w:t xml:space="preserve"> </w:t>
      </w:r>
      <w:r>
        <w:t xml:space="preserve">rather than</w:t>
      </w:r>
      <w:r>
        <w:t xml:space="preserve"> </w:t>
      </w:r>
      <w:r>
        <w:rPr>
          <w:rStyle w:val="VerbatimChar"/>
        </w:rPr>
        <w:t xml:space="preserve">&amp;</w:t>
      </w:r>
      <w:r>
        <w:t xml:space="preserve">. This three-way invariant lets the build resolve</w:t>
      </w:r>
      <w:r>
        <w:t xml:space="preserve"> </w:t>
      </w:r>
      <w:r>
        <w:rPr>
          <w:rStyle w:val="VerbatimChar"/>
        </w:rPr>
        <w:t xml:space="preserve">[[Cases/Marbury v Madison (1803)]]</w:t>
      </w:r>
      <w:r>
        <w:t xml:space="preserve"> </w:t>
      </w:r>
      <w:r>
        <w:t xml:space="preserve">without normalization heuristics, and the Lint phase scores the agreement.</w:t>
      </w:r>
    </w:p>
    <w:p>
      <w:pPr>
        <w:pStyle w:val="FirstParagraph"/>
      </w:pPr>
      <w:r>
        <w:rPr>
          <w:i/>
          <w:iCs/>
        </w:rPr>
        <w:t xml:space="preserve">Intentionally excluded:</w:t>
      </w:r>
      <w:r>
        <w:t xml:space="preserve"> </w:t>
      </w:r>
      <w:r>
        <w:t xml:space="preserve">there is no standalone Hypothetical template (the block lives inside the Case and Topic pages), and no aggregation template beyond the Topic synthesis form exists in</w:t>
      </w:r>
      <w:r>
        <w:t xml:space="preserve"> </w:t>
      </w:r>
      <w:r>
        <w:rPr>
          <w:rStyle w:val="VerbatimChar"/>
        </w:rPr>
        <w:t xml:space="preserve">Templates/</w:t>
      </w:r>
      <w:r>
        <w:t xml:space="preserve">.</w:t>
      </w:r>
    </w:p>
    <w:bookmarkEnd w:id="26"/>
    <w:bookmarkEnd w:id="27"/>
    <w:bookmarkStart w:id="33" w:name="Xdb9a765054cd3817cfd3e3f911f018b5cdae943"/>
    <w:p>
      <w:pPr>
        <w:pStyle w:val="Heading1"/>
      </w:pPr>
      <w:r>
        <w:t xml:space="preserve">Appendix D. Karpathy-Loop Per-Phase Rubric</w:t>
      </w:r>
    </w:p>
    <w:bookmarkStart w:id="28" w:name="Xb3661b9dd6c1b3e0ac656d80b61c7c4b7d1cf10"/>
    <w:p>
      <w:pPr>
        <w:pStyle w:val="Heading2"/>
      </w:pPr>
      <w:r>
        <w:t xml:space="preserve">Appendix D: Karpathy-Loop Per-Phase Rubric</w:t>
      </w:r>
    </w:p>
    <w:bookmarkEnd w:id="28"/>
    <w:bookmarkStart w:id="29" w:name="d.1-concept"/>
    <w:p>
      <w:pPr>
        <w:pStyle w:val="Heading2"/>
      </w:pPr>
      <w:r>
        <w:t xml:space="preserve">D.1 Concept</w:t>
      </w:r>
    </w:p>
    <w:p>
      <w:pPr>
        <w:pStyle w:val="FirstParagraph"/>
      </w:pPr>
      <w:r>
        <w:t xml:space="preserve">Both the vault and the article-build system run a single phase per scheduled tick, and each phase carries its own rubric file loaded only when that phase is active. The design was forced, not chosen. Early vault runs loaded one monolithic rubric covering all six phases, the full lessons file, and the whole build narrative every pass, so a formatting run spent its context budget on enrichment and verification criteria it would never use. The fix was tiered loading: one rubric file per phase, the lessons file skipped where unneeded, and a monthly-rotated narrative. The split also stopped one phase from gaming a shared scoring criterion to flatter its own number at another phase’s expense. Each run scores itself against its phase rubric, appends one line to a rolling scorecard, and records a short narrative entry; together the two artifacts let a reviewer reconstruct the loop’s state at any past tick, which is what makes the loop reviewable rather than opaque.</w:t>
      </w:r>
    </w:p>
    <w:bookmarkEnd w:id="29"/>
    <w:bookmarkStart w:id="30" w:name="X3b686e3bf443d2f782cd22177458f5f8e8d0d00"/>
    <w:p>
      <w:pPr>
        <w:pStyle w:val="Heading2"/>
      </w:pPr>
      <w:r>
        <w:t xml:space="preserve">D.2 Vault rubrics (six-phase content rotation)</w:t>
      </w:r>
    </w:p>
    <w:p>
      <w:pPr>
        <w:pStyle w:val="FirstParagraph"/>
      </w:pPr>
      <w:r>
        <w:t xml:space="preserve">The vault’s content rotation is Ingest, Lint, Enrich, Expand, Synthesize, Verify, then repeat (vault PROJECT_PRIMER); the RUNBOOK adds Deploy as a first-class publish phase after Verify and runs Consolidate out of rotation. Each vault rubric scores weighted criteria 0-to-5 across four columns (Criterion, Weight, Red Flag At, Method), reports a weighted average to one decimal, and trips a hard red flag when a flagged criterion hits its threshold. Every phase also reserves a fixed governance allotment:</w:t>
      </w:r>
      <w:r>
        <w:t xml:space="preserve"> </w:t>
      </w:r>
      <w:r>
        <w:rPr>
          <w:rStyle w:val="VerbatimChar"/>
        </w:rPr>
        <w:t xml:space="preserve">scope_discipline</w:t>
      </w:r>
      <w:r>
        <w:t xml:space="preserve"> </w:t>
      </w:r>
      <w:r>
        <w:t xml:space="preserve">0.10 and</w:t>
      </w:r>
      <w:r>
        <w:t xml:space="preserve"> </w:t>
      </w:r>
      <w:r>
        <w:rPr>
          <w:rStyle w:val="VerbatimChar"/>
        </w:rPr>
        <w:t xml:space="preserve">brevity</w:t>
      </w:r>
      <w:r>
        <w:t xml:space="preserve"> </w:t>
      </w:r>
      <w:r>
        <w:t xml:space="preserve">0.05. The goals and weights below are reproduced directly from the vault rubric files (see the provenance note).</w:t>
      </w:r>
    </w:p>
    <w:tbl>
      <w:tblPr>
        <w:tblStyle w:val="Table"/>
        <w:tblW w:type="pct" w:w="5000"/>
        <w:tblLayout w:type="fixed"/>
        <w:tblLook w:firstRow="1" w:lastRow="0" w:firstColumn="0" w:lastColumn="0" w:noHBand="0" w:noVBand="0" w:val="0020"/>
      </w:tblPr>
      <w:tblGrid>
        <w:gridCol w:w="4264"/>
        <w:gridCol w:w="3655"/>
      </w:tblGrid>
      <w:tr>
        <w:trPr>
          <w:tblHeader w:val="on"/>
        </w:trPr>
        <w:tc>
          <w:tcPr/>
          <w:p>
            <w:pPr>
              <w:pStyle w:val="Compact"/>
            </w:pPr>
            <w:r>
              <w:t xml:space="preserve">Phase</w:t>
            </w:r>
          </w:p>
        </w:tc>
        <w:tc>
          <w:tcPr/>
          <w:p>
            <w:pPr>
              <w:pStyle w:val="Compact"/>
            </w:pPr>
            <w:r>
              <w:t xml:space="preserve">Goal</w:t>
            </w:r>
          </w:p>
        </w:tc>
      </w:tr>
      <w:tr>
        <w:tc>
          <w:tcPr/>
          <w:p>
            <w:pPr>
              <w:pStyle w:val="Compact"/>
            </w:pPr>
            <w:r>
              <w:t xml:space="preserve">Ingest</w:t>
            </w:r>
          </w:p>
        </w:tc>
        <w:tc>
          <w:tcPr/>
          <w:p>
            <w:pPr>
              <w:pStyle w:val="Compact"/>
            </w:pPr>
            <w:r>
              <w:t xml:space="preserve">Produce a skeleton case brief: the factual sections (Memory Jogger, Facts, Procedural History, Judicial Votes, Holding) at depth, exactly one Midpage-verified pin-cited quotation, and a</w:t>
            </w:r>
            <w:r>
              <w:t xml:space="preserve"> </w:t>
            </w:r>
            <w:r>
              <w:rPr>
                <w:rStyle w:val="VerbatimChar"/>
              </w:rPr>
              <w:t xml:space="preserve">&lt;!-- ENRICH: --&gt;</w:t>
            </w:r>
            <w:r>
              <w:t xml:space="preserve"> </w:t>
            </w:r>
            <w:r>
              <w:t xml:space="preserve">marker on every deferred section rather than writing it.</w:t>
            </w:r>
          </w:p>
        </w:tc>
      </w:tr>
      <w:tr>
        <w:tc>
          <w:tcPr/>
          <w:p>
            <w:pPr>
              <w:pStyle w:val="Compact"/>
            </w:pPr>
            <w:r>
              <w:t xml:space="preserve">Lint</w:t>
            </w:r>
          </w:p>
        </w:tc>
        <w:tc>
          <w:tcPr/>
          <w:p>
            <w:pPr>
              <w:pStyle w:val="Compact"/>
            </w:pPr>
            <w:r>
              <w:t xml:space="preserve">Structural and template enforcement: frontmatter schema, the fixed H2 sequence, filename/H1/frontmatter-name agreement, and</w:t>
            </w:r>
            <w:r>
              <w:t xml:space="preserve"> </w:t>
            </w:r>
            <w:r>
              <w:rPr>
                <w:rStyle w:val="VerbatimChar"/>
              </w:rPr>
              <w:t xml:space="preserve">source_files</w:t>
            </w:r>
            <w:r>
              <w:t xml:space="preserve">/</w:t>
            </w:r>
            <w:r>
              <w:rPr>
                <w:rStyle w:val="VerbatimChar"/>
              </w:rPr>
              <w:t xml:space="preserve">## Sources</w:t>
            </w:r>
            <w:r>
              <w:t xml:space="preserve"> </w:t>
            </w:r>
            <w:r>
              <w:t xml:space="preserve">parity, fixing only genuinely broken links.</w:t>
            </w:r>
          </w:p>
        </w:tc>
      </w:tr>
      <w:tr>
        <w:tc>
          <w:tcPr/>
          <w:p>
            <w:pPr>
              <w:pStyle w:val="Compact"/>
            </w:pPr>
            <w:r>
              <w:t xml:space="preserve">Enrich</w:t>
            </w:r>
          </w:p>
        </w:tc>
        <w:tc>
          <w:tcPr/>
          <w:p>
            <w:pPr>
              <w:pStyle w:val="Compact"/>
            </w:pPr>
            <w:r>
              <w:t xml:space="preserve">Resolve the stubbed sections: concurrence and dissent reasoning, five hypotheticals with reasoning, a both-sides critique, additional verified quotations, and connections.</w:t>
            </w:r>
          </w:p>
        </w:tc>
      </w:tr>
      <w:tr>
        <w:tc>
          <w:tcPr/>
          <w:p>
            <w:pPr>
              <w:pStyle w:val="Compact"/>
            </w:pPr>
            <w:r>
              <w:t xml:space="preserve">Expand</w:t>
            </w:r>
          </w:p>
        </w:tc>
        <w:tc>
          <w:tcPr/>
          <w:p>
            <w:pPr>
              <w:pStyle w:val="Compact"/>
            </w:pPr>
            <w:r>
              <w:t xml:space="preserve">Add cross-references among Cases, Topics, and Lectures, each with a reciprocal link on the target page, plus comparison tables between related doctrines, using CourtListener citation chains to find missing connections.</w:t>
            </w:r>
          </w:p>
        </w:tc>
      </w:tr>
      <w:tr>
        <w:tc>
          <w:tcPr/>
          <w:p>
            <w:pPr>
              <w:pStyle w:val="Compact"/>
            </w:pPr>
            <w:r>
              <w:t xml:space="preserve">Synthesize</w:t>
            </w:r>
          </w:p>
        </w:tc>
        <w:tc>
          <w:tcPr/>
          <w:p>
            <w:pPr>
              <w:pStyle w:val="Compact"/>
            </w:pPr>
            <w:r>
              <w:t xml:space="preserve">Build a Topic page in the exam-ready scaffold: Governing Rule, Doctrinal Development, Key Cases table, hypotheticals, How to Spot on an Exam, Critique, Connections, with no claim absent from the underlying briefs.</w:t>
            </w:r>
          </w:p>
        </w:tc>
      </w:tr>
      <w:tr>
        <w:tc>
          <w:tcPr/>
          <w:p>
            <w:pPr>
              <w:pStyle w:val="Compact"/>
            </w:pPr>
            <w:r>
              <w:t xml:space="preserve">Verify</w:t>
            </w:r>
          </w:p>
        </w:tc>
        <w:tc>
          <w:tcPr/>
          <w:p>
            <w:pPr>
              <w:pStyle w:val="Compact"/>
            </w:pPr>
            <w:r>
              <w:t xml:space="preserve">Adversarial three-persona pass (each persona returns at least one finding), holding spot-checks against Midpage, cross-file consistency, and a pending-issue aging sweep.</w:t>
            </w:r>
          </w:p>
        </w:tc>
      </w:tr>
    </w:tbl>
    <w:p>
      <w:pPr>
        <w:pStyle w:val="BodyText"/>
      </w:pPr>
      <w:r>
        <w:t xml:space="preserve">Complete criterion set and weights (verbatim from the vault rubric files):</w:t>
      </w:r>
    </w:p>
    <w:tbl>
      <w:tblPr>
        <w:tblStyle w:val="Table"/>
        <w:tblW w:type="pct" w:w="5000"/>
        <w:tblLayout w:type="fixed"/>
        <w:tblLook w:firstRow="1" w:lastRow="0" w:firstColumn="0" w:lastColumn="0" w:noHBand="0" w:noVBand="0" w:val="0020"/>
      </w:tblPr>
      <w:tblGrid>
        <w:gridCol w:w="1584"/>
        <w:gridCol w:w="6336"/>
      </w:tblGrid>
      <w:tr>
        <w:trPr>
          <w:tblHeader w:val="on"/>
        </w:trPr>
        <w:tc>
          <w:tcPr/>
          <w:p>
            <w:pPr>
              <w:pStyle w:val="Compact"/>
            </w:pPr>
            <w:r>
              <w:t xml:space="preserve">Phase</w:t>
            </w:r>
          </w:p>
        </w:tc>
        <w:tc>
          <w:tcPr/>
          <w:p>
            <w:pPr>
              <w:pStyle w:val="Compact"/>
            </w:pPr>
            <w:r>
              <w:t xml:space="preserve">Weighted criteria (weight)</w:t>
            </w:r>
          </w:p>
        </w:tc>
      </w:tr>
      <w:tr>
        <w:tc>
          <w:tcPr/>
          <w:p>
            <w:pPr>
              <w:pStyle w:val="Compact"/>
            </w:pPr>
            <w:r>
              <w:t xml:space="preserve">Ingest</w:t>
            </w:r>
          </w:p>
        </w:tc>
        <w:tc>
          <w:tcPr/>
          <w:p>
            <w:pPr>
              <w:pStyle w:val="Compact"/>
            </w:pPr>
            <w:r>
              <w:t xml:space="preserve">files_processed 0.15; classification_accuracy 0.10; skeleton_completeness 0.20; stub_markers_present 0.15; scope_discipline 0.10; midpage_verification 0.10; source_attribution 0.10; backfill_coverage 0.10; brevity 0.05</w:t>
            </w:r>
          </w:p>
        </w:tc>
      </w:tr>
      <w:tr>
        <w:tc>
          <w:tcPr/>
          <w:p>
            <w:pPr>
              <w:pStyle w:val="Compact"/>
            </w:pPr>
            <w:r>
              <w:t xml:space="preserve">Lint</w:t>
            </w:r>
          </w:p>
        </w:tc>
        <w:tc>
          <w:tcPr/>
          <w:p>
            <w:pPr>
              <w:pStyle w:val="Compact"/>
            </w:pPr>
            <w:r>
              <w:t xml:space="preserve">structural_fixes 0.27; pending_issues_cleared 0.18; template_enforcement 0.18; broken_links_fixed 0.04; source_attribution_sync 0.13; no_net_regressions 0.10; scope_discipline 0.10; brevity 0.05</w:t>
            </w:r>
          </w:p>
        </w:tc>
      </w:tr>
      <w:tr>
        <w:tc>
          <w:tcPr/>
          <w:p>
            <w:pPr>
              <w:pStyle w:val="Compact"/>
            </w:pPr>
            <w:r>
              <w:t xml:space="preserve">Enrich</w:t>
            </w:r>
          </w:p>
        </w:tc>
        <w:tc>
          <w:tcPr/>
          <w:p>
            <w:pPr>
              <w:pStyle w:val="Compact"/>
            </w:pPr>
            <w:r>
              <w:t xml:space="preserve">stubs_resolved 0.22; concurrence_and_dissent 0.18; hypos_with_reasoning 0.14; critique_balance 0.13; midpage_quotes_added 0.09; no_fabrication 0.09; verified_flip_discipline 0.05; scope_discipline 0.10; brevity 0.05</w:t>
            </w:r>
          </w:p>
        </w:tc>
      </w:tr>
      <w:tr>
        <w:tc>
          <w:tcPr/>
          <w:p>
            <w:pPr>
              <w:pStyle w:val="Compact"/>
            </w:pPr>
            <w:r>
              <w:t xml:space="preserve">Expand</w:t>
            </w:r>
          </w:p>
        </w:tc>
        <w:tc>
          <w:tcPr/>
          <w:p>
            <w:pPr>
              <w:pStyle w:val="Compact"/>
            </w:pPr>
            <w:r>
              <w:t xml:space="preserve">cross_references_added 0.27; reciprocal_links 0.22; comparison_tables 0.18; citation_chain_used 0.23; scope_discipline 0.10; brevity 0.05</w:t>
            </w:r>
          </w:p>
        </w:tc>
      </w:tr>
      <w:tr>
        <w:tc>
          <w:tcPr/>
          <w:p>
            <w:pPr>
              <w:pStyle w:val="Compact"/>
            </w:pPr>
            <w:r>
              <w:t xml:space="preserve">Synthesize</w:t>
            </w:r>
          </w:p>
        </w:tc>
        <w:tc>
          <w:tcPr/>
          <w:p>
            <w:pPr>
              <w:pStyle w:val="Compact"/>
            </w:pPr>
            <w:r>
              <w:t xml:space="preserve">topic_pages_created_or_updated 0.27; exam_readiness 0.22; no_synthesis_drift 0.23; key_cases_table_current 0.18; scope_discipline 0.10; brevity 0.05</w:t>
            </w:r>
          </w:p>
        </w:tc>
      </w:tr>
      <w:tr>
        <w:tc>
          <w:tcPr/>
          <w:p>
            <w:pPr>
              <w:pStyle w:val="Compact"/>
            </w:pPr>
            <w:r>
              <w:t xml:space="preserve">Verify</w:t>
            </w:r>
          </w:p>
        </w:tc>
        <w:tc>
          <w:tcPr/>
          <w:p>
            <w:pPr>
              <w:pStyle w:val="Compact"/>
            </w:pPr>
            <w:r>
              <w:t xml:space="preserve">adversarial_findings 0.28; holding_verification 0.17; cross_file_consistency 0.15; pending_issues_emitted 0.20; pending_issue_aging 0.10; scope_discipline 0.10; brevity 0.05</w:t>
            </w:r>
          </w:p>
        </w:tc>
      </w:tr>
    </w:tbl>
    <w:p>
      <w:pPr>
        <w:pStyle w:val="BodyText"/>
      </w:pPr>
      <w:r>
        <w:t xml:space="preserve">In each phase the largest-weight criterion names its purpose (Lint</w:t>
      </w:r>
      <w:r>
        <w:t xml:space="preserve"> </w:t>
      </w:r>
      <w:r>
        <w:rPr>
          <w:rStyle w:val="VerbatimChar"/>
        </w:rPr>
        <w:t xml:space="preserve">structural_fixes</w:t>
      </w:r>
      <w:r>
        <w:t xml:space="preserve"> </w:t>
      </w:r>
      <w:r>
        <w:t xml:space="preserve">0.27, Verify</w:t>
      </w:r>
      <w:r>
        <w:t xml:space="preserve"> </w:t>
      </w:r>
      <w:r>
        <w:rPr>
          <w:rStyle w:val="VerbatimChar"/>
        </w:rPr>
        <w:t xml:space="preserve">adversarial_findings</w:t>
      </w:r>
      <w:r>
        <w:t xml:space="preserve"> </w:t>
      </w:r>
      <w:r>
        <w:t xml:space="preserve">0.28). Many criteria carry a red flag at 0 or 1, so a single failure floors the run regardless of the weighted average. The Deploy rubric (</w:t>
      </w:r>
      <w:r>
        <w:rPr>
          <w:rStyle w:val="VerbatimChar"/>
        </w:rPr>
        <w:t xml:space="preserve">deploy.md</w:t>
      </w:r>
      <w:r>
        <w:t xml:space="preserve">) and the out-of-rotation Consolidate rubric live in the same folder but are intentionally excluded here, as the article’s argument concerns the content phases.</w:t>
      </w:r>
    </w:p>
    <w:bookmarkEnd w:id="30"/>
    <w:bookmarkStart w:id="31" w:name="Xc04af9d6d36a55d3a9d5494f70637a494ad4059"/>
    <w:p>
      <w:pPr>
        <w:pStyle w:val="Heading2"/>
      </w:pPr>
      <w:r>
        <w:t xml:space="preserve">D.3 Article-build rubrics (seven phases plus two sub-tasks)</w:t>
      </w:r>
    </w:p>
    <w:p>
      <w:pPr>
        <w:pStyle w:val="FirstParagraph"/>
      </w:pPr>
      <w:r>
        <w:t xml:space="preserve">Rotation: Harvest, Outline, Draft, Cite, Polish, Stitch, Verify. Each rubric scores five criteria 1 to 5, unweighted, reported as an average. Criterion names are verbatim from</w:t>
      </w:r>
      <w:r>
        <w:t xml:space="preserve"> </w:t>
      </w:r>
      <w:r>
        <w:rPr>
          <w:rStyle w:val="VerbatimChar"/>
        </w:rPr>
        <w:t xml:space="preserve">Article/rubric/&lt;phase&gt;.md</w:t>
      </w:r>
      <w:r>
        <w:t xml:space="preserve">.</w:t>
      </w:r>
    </w:p>
    <w:tbl>
      <w:tblPr>
        <w:tblStyle w:val="Table"/>
        <w:tblW w:type="pct" w:w="5000"/>
        <w:tblLayout w:type="fixed"/>
        <w:tblLook w:firstRow="1" w:lastRow="0" w:firstColumn="0" w:lastColumn="0" w:noHBand="0" w:noVBand="0" w:val="0020"/>
      </w:tblPr>
      <w:tblGrid>
        <w:gridCol w:w="4320"/>
        <w:gridCol w:w="3600"/>
      </w:tblGrid>
      <w:tr>
        <w:trPr>
          <w:tblHeader w:val="on"/>
        </w:trPr>
        <w:tc>
          <w:tcPr/>
          <w:p>
            <w:pPr>
              <w:pStyle w:val="Compact"/>
            </w:pPr>
            <w:r>
              <w:t xml:space="preserve">Phase / sub-task</w:t>
            </w:r>
          </w:p>
        </w:tc>
        <w:tc>
          <w:tcPr/>
          <w:p>
            <w:pPr>
              <w:pStyle w:val="Compact"/>
            </w:pPr>
            <w:r>
              <w:t xml:space="preserve">Five criteria</w:t>
            </w:r>
          </w:p>
        </w:tc>
      </w:tr>
      <w:tr>
        <w:tc>
          <w:tcPr/>
          <w:p>
            <w:pPr>
              <w:pStyle w:val="Compact"/>
            </w:pPr>
            <w:r>
              <w:t xml:space="preserve">Harvest</w:t>
            </w:r>
          </w:p>
        </w:tc>
        <w:tc>
          <w:tcPr/>
          <w:p>
            <w:pPr>
              <w:pStyle w:val="Compact"/>
            </w:pPr>
            <w:r>
              <w:t xml:space="preserve">Section targeting; Source diversity; Traceability; Non-duplication; Gap logging</w:t>
            </w:r>
          </w:p>
        </w:tc>
      </w:tr>
      <w:tr>
        <w:tc>
          <w:tcPr/>
          <w:p>
            <w:pPr>
              <w:pStyle w:val="Compact"/>
            </w:pPr>
            <w:r>
              <w:t xml:space="preserve">Outline</w:t>
            </w:r>
          </w:p>
        </w:tc>
        <w:tc>
          <w:tcPr/>
          <w:p>
            <w:pPr>
              <w:pStyle w:val="Compact"/>
            </w:pPr>
            <w:r>
              <w:t xml:space="preserve">Structural fidelity; Evidence binding; Word budgeting; Argument granularity; Open-question discipline</w:t>
            </w:r>
          </w:p>
        </w:tc>
      </w:tr>
      <w:tr>
        <w:tc>
          <w:tcPr/>
          <w:p>
            <w:pPr>
              <w:pStyle w:val="Compact"/>
            </w:pPr>
            <w:r>
              <w:t xml:space="preserve">Draft</w:t>
            </w:r>
          </w:p>
        </w:tc>
        <w:tc>
          <w:tcPr/>
          <w:p>
            <w:pPr>
              <w:pStyle w:val="Compact"/>
            </w:pPr>
            <w:r>
              <w:t xml:space="preserve">Argument structure; Evidence use; Voice; Fabrication discipline; Word-budget compliance</w:t>
            </w:r>
          </w:p>
        </w:tc>
      </w:tr>
      <w:tr>
        <w:tc>
          <w:tcPr/>
          <w:p>
            <w:pPr>
              <w:pStyle w:val="Compact"/>
            </w:pPr>
            <w:r>
              <w:t xml:space="preserve">Cite</w:t>
            </w:r>
          </w:p>
        </w:tc>
        <w:tc>
          <w:tcPr/>
          <w:p>
            <w:pPr>
              <w:pStyle w:val="Compact"/>
            </w:pPr>
            <w:r>
              <w:t xml:space="preserve">Coverage; Bluebook form; URL liveness; Primary-source discipline; Internal-cite hygiene</w:t>
            </w:r>
          </w:p>
        </w:tc>
      </w:tr>
      <w:tr>
        <w:tc>
          <w:tcPr/>
          <w:p>
            <w:pPr>
              <w:pStyle w:val="Compact"/>
            </w:pPr>
            <w:r>
              <w:t xml:space="preserve">Polish</w:t>
            </w:r>
          </w:p>
        </w:tc>
        <w:tc>
          <w:tcPr/>
          <w:p>
            <w:pPr>
              <w:pStyle w:val="Compact"/>
            </w:pPr>
            <w:r>
              <w:t xml:space="preserve">Mechanical hygiene; Voice consistency; Sentence tightness; First-person discipline; Section coherence</w:t>
            </w:r>
          </w:p>
        </w:tc>
      </w:tr>
      <w:tr>
        <w:tc>
          <w:tcPr/>
          <w:p>
            <w:pPr>
              <w:pStyle w:val="Compact"/>
            </w:pPr>
            <w:r>
              <w:t xml:space="preserve">Stitch</w:t>
            </w:r>
          </w:p>
        </w:tc>
        <w:tc>
          <w:tcPr/>
          <w:p>
            <w:pPr>
              <w:pStyle w:val="Compact"/>
            </w:pPr>
            <w:r>
              <w:t xml:space="preserve">Terminology unity; Fact consistency; Recurring-sentence placement; Transition quality; Word count and assembly</w:t>
            </w:r>
          </w:p>
        </w:tc>
      </w:tr>
      <w:tr>
        <w:tc>
          <w:tcPr/>
          <w:p>
            <w:pPr>
              <w:pStyle w:val="Compact"/>
            </w:pPr>
            <w:r>
              <w:t xml:space="preserve">Verify</w:t>
            </w:r>
          </w:p>
        </w:tc>
        <w:tc>
          <w:tcPr/>
          <w:p>
            <w:pPr>
              <w:pStyle w:val="Compact"/>
            </w:pPr>
            <w:r>
              <w:t xml:space="preserve">Persona coverage; Forced-finding compliance; Finding specificity; Suggested-fix quality; State routing</w:t>
            </w:r>
          </w:p>
        </w:tc>
      </w:tr>
      <w:tr>
        <w:tc>
          <w:tcPr/>
          <w:p>
            <w:pPr>
              <w:pStyle w:val="Compact"/>
            </w:pPr>
            <w:r>
              <w:t xml:space="preserve">Abstract (Outline sub-task)</w:t>
            </w:r>
          </w:p>
        </w:tc>
        <w:tc>
          <w:tcPr/>
          <w:p>
            <w:pPr>
              <w:pStyle w:val="Compact"/>
            </w:pPr>
            <w:r>
              <w:t xml:space="preserve">Thesis clarity; Method visibility; Case-study framing; Honest scoping; Word discipline and JLE voice</w:t>
            </w:r>
          </w:p>
        </w:tc>
      </w:tr>
      <w:tr>
        <w:tc>
          <w:tcPr/>
          <w:p>
            <w:pPr>
              <w:pStyle w:val="Compact"/>
            </w:pPr>
            <w:r>
              <w:t xml:space="preserve">Appendix (Harvest sub-task)</w:t>
            </w:r>
          </w:p>
        </w:tc>
        <w:tc>
          <w:tcPr/>
          <w:p>
            <w:pPr>
              <w:pStyle w:val="Compact"/>
            </w:pPr>
            <w:r>
              <w:t xml:space="preserve">Source fidelity; Completeness; Replicability; Reference usability; Word discipline</w:t>
            </w:r>
          </w:p>
        </w:tc>
      </w:tr>
    </w:tbl>
    <w:bookmarkEnd w:id="31"/>
    <w:bookmarkStart w:id="32" w:name="d.4-what-we-changed-and-why"/>
    <w:p>
      <w:pPr>
        <w:pStyle w:val="Heading2"/>
      </w:pPr>
      <w:r>
        <w:t xml:space="preserve">D.4 What we changed and why</w:t>
      </w:r>
    </w:p>
    <w:p>
      <w:pPr>
        <w:pStyle w:val="FirstParagraph"/>
      </w:pPr>
      <w:r>
        <w:t xml:space="preserve">The two rubric families answer to the work they score. The vault’s phases produce structured artifacts whose quality is largely mechanical (does the brief carry one verified pin cite, do filename, H1, and frontmatter agree), so its rubrics weight named criteria toward a single per-run number and trip a red flag below a hard threshold. The article’s phases produce prose whose quality is a matter of judgment, so its rubrics drop weights and thresholds in favor of five 1-to-5 anchors averaged evenly. What both share is the constraint that produced them: one rubric file per phase, loaded only by that phase. Running both systems at once tested that principle: the same tiered-loading discipline carried across a structured-artifact task and a long-form-prose task without modification, the strongest available evidence that the loop’s architecture, not its content, is the transferable contribution.</w:t>
      </w:r>
    </w:p>
    <w:p>
      <w:pPr>
        <w:pStyle w:val="BodyText"/>
      </w:pPr>
      <w:r>
        <w:rPr>
          <w:i/>
          <w:iCs/>
        </w:rPr>
        <w:t xml:space="preserve">Cross-reference:</w:t>
      </w:r>
      <w:r>
        <w:t xml:space="preserve"> </w:t>
      </w:r>
      <w:r>
        <w:t xml:space="preserve">supports Section VI (Prompting as Pedagogical Design) and Section VII (Iterative Improvement Under Professorial Control).</w:t>
      </w:r>
    </w:p>
    <w:bookmarkEnd w:id="32"/>
    <w:bookmarkEnd w:id="33"/>
    <w:bookmarkStart w:id="39" w:name="appendix-e.-cost-and-time-log"/>
    <w:p>
      <w:pPr>
        <w:pStyle w:val="Heading1"/>
      </w:pPr>
      <w:r>
        <w:t xml:space="preserve">Appendix E. Cost and Time Log</w:t>
      </w:r>
    </w:p>
    <w:bookmarkStart w:id="34" w:name="appendix-e-cost-and-time-log"/>
    <w:p>
      <w:pPr>
        <w:pStyle w:val="Heading2"/>
      </w:pPr>
      <w:r>
        <w:t xml:space="preserve">Appendix E: Cost and Time Log</w:t>
      </w:r>
    </w:p>
    <w:bookmarkEnd w:id="34"/>
    <w:bookmarkStart w:id="35" w:name="e.1-method-note"/>
    <w:p>
      <w:pPr>
        <w:pStyle w:val="Heading2"/>
      </w:pPr>
      <w:r>
        <w:t xml:space="preserve">E.1 Method note</w:t>
      </w:r>
    </w:p>
    <w:p>
      <w:pPr>
        <w:pStyle w:val="FirstParagraph"/>
      </w:pPr>
      <w:r>
        <w:t xml:space="preserve">This appendix reports the cost of building the</w:t>
      </w:r>
      <w:r>
        <w:t xml:space="preserve"> </w:t>
      </w:r>
      <w:r>
        <w:rPr>
          <w:b/>
          <w:bCs/>
        </w:rPr>
        <w:t xml:space="preserve">vault</w:t>
      </w:r>
      <w:r>
        <w:t xml:space="preserve"> </w:t>
      </w:r>
      <w:r>
        <w:t xml:space="preserve">— the course-knowledge system that is the article’s deliverable — not the cost of writing this paper. The vault was produced by a scheduled task that logs one machine-generated line per run to its own scorecard (</w:t>
      </w:r>
      <w:r>
        <w:rPr>
          <w:rStyle w:val="VerbatimChar"/>
        </w:rPr>
        <w:t xml:space="preserve">.run-scores.jsonl</w:t>
      </w:r>
      <w:r>
        <w:t xml:space="preserve">), recording the run’s phase, score, and the files it touched. The figures below aggregate those logs. They count automated runs and the files they processed; they are not a metered token bill and not a human-hour ledger (see E.4). An earlier draft restated an</w:t>
      </w:r>
      <w:r>
        <w:t xml:space="preserve"> </w:t>
      </w:r>
      <w:r>
        <w:t xml:space="preserve">“about 60% of weekly Claude usage”</w:t>
      </w:r>
      <w:r>
        <w:t xml:space="preserve"> </w:t>
      </w:r>
      <w:r>
        <w:t xml:space="preserve">figure from an email trail; that number was unmetered and is omitted here in favor of counted runs.</w:t>
      </w:r>
    </w:p>
    <w:bookmarkEnd w:id="35"/>
    <w:bookmarkStart w:id="36" w:name="e.2-vault-construction-cost"/>
    <w:p>
      <w:pPr>
        <w:pStyle w:val="Heading2"/>
      </w:pPr>
      <w:r>
        <w:t xml:space="preserve">E.2 Vault-construction cost</w:t>
      </w:r>
    </w:p>
    <w:tbl>
      <w:tblPr>
        <w:tblStyle w:val="Table"/>
        <w:tblW w:type="pct" w:w="5000"/>
        <w:tblLayout w:type="fixed"/>
        <w:tblLook w:firstRow="1" w:lastRow="0" w:firstColumn="0" w:lastColumn="0" w:noHBand="0" w:noVBand="0" w:val="0020"/>
      </w:tblPr>
      <w:tblGrid>
        <w:gridCol w:w="2754"/>
        <w:gridCol w:w="2410"/>
        <w:gridCol w:w="2754"/>
      </w:tblGrid>
      <w:tr>
        <w:trPr>
          <w:tblHeader w:val="on"/>
        </w:trPr>
        <w:tc>
          <w:tcPr/>
          <w:p>
            <w:pPr>
              <w:pStyle w:val="Compact"/>
            </w:pPr>
            <w:r>
              <w:t xml:space="preserve">Metric</w:t>
            </w:r>
          </w:p>
        </w:tc>
        <w:tc>
          <w:tcPr/>
          <w:p>
            <w:pPr>
              <w:pStyle w:val="Compact"/>
              <w:jc w:val="right"/>
            </w:pPr>
            <w:r>
              <w:t xml:space="preserve">Value</w:t>
            </w:r>
          </w:p>
        </w:tc>
        <w:tc>
          <w:tcPr/>
          <w:p>
            <w:pPr>
              <w:pStyle w:val="Compact"/>
            </w:pPr>
            <w:r>
              <w:t xml:space="preserve">Source</w:t>
            </w:r>
          </w:p>
        </w:tc>
      </w:tr>
      <w:tr>
        <w:tc>
          <w:tcPr/>
          <w:p>
            <w:pPr>
              <w:pStyle w:val="Compact"/>
            </w:pPr>
            <w:r>
              <w:t xml:space="preserve">Build window</w:t>
            </w:r>
          </w:p>
        </w:tc>
        <w:tc>
          <w:tcPr/>
          <w:p>
            <w:pPr>
              <w:pStyle w:val="Compact"/>
              <w:jc w:val="right"/>
            </w:pPr>
            <w:r>
              <w:t xml:space="preserve">April 16 to May 8, 2026 (~3 weeks)</w:t>
            </w:r>
          </w:p>
        </w:tc>
        <w:tc>
          <w:tcPr/>
          <w:p>
            <w:pPr>
              <w:pStyle w:val="Compact"/>
            </w:pPr>
            <w:r>
              <w:rPr>
                <w:rStyle w:val="VerbatimChar"/>
              </w:rPr>
              <w:t xml:space="preserve">.run-scores.jsonl</w:t>
            </w:r>
            <w:r>
              <w:t xml:space="preserve"> </w:t>
            </w:r>
            <w:r>
              <w:t xml:space="preserve">(first to last scored tick)</w:t>
            </w:r>
          </w:p>
        </w:tc>
      </w:tr>
      <w:tr>
        <w:tc>
          <w:tcPr/>
          <w:p>
            <w:pPr>
              <w:pStyle w:val="Compact"/>
            </w:pPr>
            <w:r>
              <w:t xml:space="preserve">Scored maintenance ticks</w:t>
            </w:r>
          </w:p>
        </w:tc>
        <w:tc>
          <w:tcPr/>
          <w:p>
            <w:pPr>
              <w:pStyle w:val="Compact"/>
              <w:jc w:val="right"/>
            </w:pPr>
            <w:r>
              <w:t xml:space="preserve">255</w:t>
            </w:r>
          </w:p>
        </w:tc>
        <w:tc>
          <w:tcPr/>
          <w:p>
            <w:pPr>
              <w:pStyle w:val="Compact"/>
            </w:pPr>
            <w:r>
              <w:rPr>
                <w:rStyle w:val="VerbatimChar"/>
              </w:rPr>
              <w:t xml:space="preserve">.run-scores.jsonl</w:t>
            </w:r>
          </w:p>
        </w:tc>
      </w:tr>
      <w:tr>
        <w:tc>
          <w:tcPr/>
          <w:p>
            <w:pPr>
              <w:pStyle w:val="Compact"/>
            </w:pPr>
            <w:r>
              <w:t xml:space="preserve">Average weighted run score</w:t>
            </w:r>
          </w:p>
        </w:tc>
        <w:tc>
          <w:tcPr/>
          <w:p>
            <w:pPr>
              <w:pStyle w:val="Compact"/>
              <w:jc w:val="right"/>
            </w:pPr>
            <w:r>
              <w:t xml:space="preserve">4.3 (across the 155 ticks carrying a weighted score)</w:t>
            </w:r>
          </w:p>
        </w:tc>
        <w:tc>
          <w:tcPr/>
          <w:p>
            <w:pPr>
              <w:pStyle w:val="Compact"/>
            </w:pPr>
            <w:r>
              <w:rPr>
                <w:rStyle w:val="VerbatimChar"/>
              </w:rPr>
              <w:t xml:space="preserve">.run-scores.jsonl</w:t>
            </w:r>
          </w:p>
        </w:tc>
      </w:tr>
      <w:tr>
        <w:tc>
          <w:tcPr/>
          <w:p>
            <w:pPr>
              <w:pStyle w:val="Compact"/>
            </w:pPr>
            <w:r>
              <w:t xml:space="preserve">Ingestion-log records</w:t>
            </w:r>
          </w:p>
        </w:tc>
        <w:tc>
          <w:tcPr/>
          <w:p>
            <w:pPr>
              <w:pStyle w:val="Compact"/>
              <w:jc w:val="right"/>
            </w:pPr>
            <w:r>
              <w:t xml:space="preserve">469 (1 metadata, 468 operations)</w:t>
            </w:r>
          </w:p>
        </w:tc>
        <w:tc>
          <w:tcPr/>
          <w:p>
            <w:pPr>
              <w:pStyle w:val="Compact"/>
            </w:pPr>
            <w:r>
              <w:rPr>
                <w:rStyle w:val="VerbatimChar"/>
              </w:rPr>
              <w:t xml:space="preserve">.ingested-files.jsonl</w:t>
            </w:r>
          </w:p>
        </w:tc>
      </w:tr>
      <w:tr>
        <w:tc>
          <w:tcPr/>
          <w:p>
            <w:pPr>
              <w:pStyle w:val="Compact"/>
            </w:pPr>
            <w:r>
              <w:t xml:space="preserve">Distinct source files processed</w:t>
            </w:r>
          </w:p>
        </w:tc>
        <w:tc>
          <w:tcPr/>
          <w:p>
            <w:pPr>
              <w:pStyle w:val="Compact"/>
              <w:jc w:val="right"/>
            </w:pPr>
            <w:r>
              <w:t xml:space="preserve">456</w:t>
            </w:r>
          </w:p>
        </w:tc>
        <w:tc>
          <w:tcPr/>
          <w:p>
            <w:pPr>
              <w:pStyle w:val="Compact"/>
            </w:pPr>
            <w:r>
              <w:rPr>
                <w:rStyle w:val="VerbatimChar"/>
              </w:rPr>
              <w:t xml:space="preserve">.ingested-files.jsonl</w:t>
            </w:r>
          </w:p>
        </w:tc>
      </w:tr>
      <w:tr>
        <w:tc>
          <w:tcPr/>
          <w:p>
            <w:pPr>
              <w:pStyle w:val="Compact"/>
            </w:pPr>
            <w:r>
              <w:t xml:space="preserve">Deployed pages (deliverable size, not cost)</w:t>
            </w:r>
          </w:p>
        </w:tc>
        <w:tc>
          <w:tcPr/>
          <w:p>
            <w:pPr>
              <w:pStyle w:val="Compact"/>
              <w:jc w:val="right"/>
            </w:pPr>
            <w:r>
              <w:t xml:space="preserve">198</w:t>
            </w:r>
          </w:p>
        </w:tc>
        <w:tc>
          <w:tcPr/>
          <w:p>
            <w:pPr>
              <w:pStyle w:val="Compact"/>
            </w:pPr>
            <w:r>
              <w:t xml:space="preserve">Appendix A</w:t>
            </w:r>
          </w:p>
        </w:tc>
      </w:tr>
    </w:tbl>
    <w:p>
      <w:pPr>
        <w:pStyle w:val="BodyText"/>
      </w:pPr>
      <w:r>
        <w:t xml:space="preserve">Ticks by phase (the vault runs an eight-phase rotation, distinct from this paper’s seven-phase loop):</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Phase</w:t>
            </w:r>
          </w:p>
        </w:tc>
        <w:tc>
          <w:tcPr/>
          <w:p>
            <w:pPr>
              <w:pStyle w:val="Compact"/>
              <w:jc w:val="right"/>
            </w:pPr>
            <w:r>
              <w:t xml:space="preserve">Ticks</w:t>
            </w:r>
          </w:p>
        </w:tc>
      </w:tr>
      <w:tr>
        <w:tc>
          <w:tcPr/>
          <w:p>
            <w:pPr>
              <w:pStyle w:val="Compact"/>
            </w:pPr>
            <w:r>
              <w:t xml:space="preserve">ingest</w:t>
            </w:r>
          </w:p>
        </w:tc>
        <w:tc>
          <w:tcPr/>
          <w:p>
            <w:pPr>
              <w:pStyle w:val="Compact"/>
              <w:jc w:val="right"/>
            </w:pPr>
            <w:r>
              <w:t xml:space="preserve">35</w:t>
            </w:r>
          </w:p>
        </w:tc>
      </w:tr>
      <w:tr>
        <w:tc>
          <w:tcPr/>
          <w:p>
            <w:pPr>
              <w:pStyle w:val="Compact"/>
            </w:pPr>
            <w:r>
              <w:t xml:space="preserve">lint</w:t>
            </w:r>
          </w:p>
        </w:tc>
        <w:tc>
          <w:tcPr/>
          <w:p>
            <w:pPr>
              <w:pStyle w:val="Compact"/>
              <w:jc w:val="right"/>
            </w:pPr>
            <w:r>
              <w:t xml:space="preserve">34</w:t>
            </w:r>
          </w:p>
        </w:tc>
      </w:tr>
      <w:tr>
        <w:tc>
          <w:tcPr/>
          <w:p>
            <w:pPr>
              <w:pStyle w:val="Compact"/>
            </w:pPr>
            <w:r>
              <w:t xml:space="preserve">enrich</w:t>
            </w:r>
          </w:p>
        </w:tc>
        <w:tc>
          <w:tcPr/>
          <w:p>
            <w:pPr>
              <w:pStyle w:val="Compact"/>
              <w:jc w:val="right"/>
            </w:pPr>
            <w:r>
              <w:t xml:space="preserve">24</w:t>
            </w:r>
          </w:p>
        </w:tc>
      </w:tr>
      <w:tr>
        <w:tc>
          <w:tcPr/>
          <w:p>
            <w:pPr>
              <w:pStyle w:val="Compact"/>
            </w:pPr>
            <w:r>
              <w:t xml:space="preserve">expand</w:t>
            </w:r>
          </w:p>
        </w:tc>
        <w:tc>
          <w:tcPr/>
          <w:p>
            <w:pPr>
              <w:pStyle w:val="Compact"/>
              <w:jc w:val="right"/>
            </w:pPr>
            <w:r>
              <w:t xml:space="preserve">29</w:t>
            </w:r>
          </w:p>
        </w:tc>
      </w:tr>
      <w:tr>
        <w:tc>
          <w:tcPr/>
          <w:p>
            <w:pPr>
              <w:pStyle w:val="Compact"/>
            </w:pPr>
            <w:r>
              <w:t xml:space="preserve">synthesize</w:t>
            </w:r>
          </w:p>
        </w:tc>
        <w:tc>
          <w:tcPr/>
          <w:p>
            <w:pPr>
              <w:pStyle w:val="Compact"/>
              <w:jc w:val="right"/>
            </w:pPr>
            <w:r>
              <w:t xml:space="preserve">30</w:t>
            </w:r>
          </w:p>
        </w:tc>
      </w:tr>
      <w:tr>
        <w:tc>
          <w:tcPr/>
          <w:p>
            <w:pPr>
              <w:pStyle w:val="Compact"/>
            </w:pPr>
            <w:r>
              <w:t xml:space="preserve">verify</w:t>
            </w:r>
          </w:p>
        </w:tc>
        <w:tc>
          <w:tcPr/>
          <w:p>
            <w:pPr>
              <w:pStyle w:val="Compact"/>
              <w:jc w:val="right"/>
            </w:pPr>
            <w:r>
              <w:t xml:space="preserve">34</w:t>
            </w:r>
          </w:p>
        </w:tc>
      </w:tr>
      <w:tr>
        <w:tc>
          <w:tcPr/>
          <w:p>
            <w:pPr>
              <w:pStyle w:val="Compact"/>
            </w:pPr>
            <w:r>
              <w:t xml:space="preserve">consolidate</w:t>
            </w:r>
          </w:p>
        </w:tc>
        <w:tc>
          <w:tcPr/>
          <w:p>
            <w:pPr>
              <w:pStyle w:val="Compact"/>
              <w:jc w:val="right"/>
            </w:pPr>
            <w:r>
              <w:t xml:space="preserve">10</w:t>
            </w:r>
          </w:p>
        </w:tc>
      </w:tr>
      <w:tr>
        <w:tc>
          <w:tcPr/>
          <w:p>
            <w:pPr>
              <w:pStyle w:val="Compact"/>
            </w:pPr>
            <w:r>
              <w:t xml:space="preserve">deploy</w:t>
            </w:r>
          </w:p>
        </w:tc>
        <w:tc>
          <w:tcPr/>
          <w:p>
            <w:pPr>
              <w:pStyle w:val="Compact"/>
              <w:jc w:val="right"/>
            </w:pPr>
            <w:r>
              <w:t xml:space="preserve">59</w:t>
            </w:r>
          </w:p>
        </w:tc>
      </w:tr>
      <w:tr>
        <w:tc>
          <w:tcPr/>
          <w:p>
            <w:pPr>
              <w:pStyle w:val="Compact"/>
            </w:pPr>
            <w:r>
              <w:rPr>
                <w:b/>
                <w:bCs/>
              </w:rPr>
              <w:t xml:space="preserve">Total</w:t>
            </w:r>
          </w:p>
        </w:tc>
        <w:tc>
          <w:tcPr/>
          <w:p>
            <w:pPr>
              <w:pStyle w:val="Compact"/>
              <w:jc w:val="right"/>
            </w:pPr>
            <w:r>
              <w:rPr>
                <w:b/>
                <w:bCs/>
              </w:rPr>
              <w:t xml:space="preserve">255</w:t>
            </w:r>
          </w:p>
        </w:tc>
      </w:tr>
    </w:tbl>
    <w:p>
      <w:pPr>
        <w:pStyle w:val="BodyText"/>
      </w:pPr>
      <w:r>
        <w:t xml:space="preserve">The deploy row is the honest outlier. Of 59 deploy ticks, 43 were blocked by a Netlify</w:t>
      </w:r>
      <w:r>
        <w:t xml:space="preserve"> </w:t>
      </w:r>
      <w:r>
        <w:t xml:space="preserve">“Account credit usage exceeded”</w:t>
      </w:r>
      <w:r>
        <w:t xml:space="preserve"> </w:t>
      </w:r>
      <w:r>
        <w:t xml:space="preserve">response and published nothing. The construction cost therefore includes dozens of runs that advanced no deliverable — a real expense the run log records and an email estimate would have hidden.</w:t>
      </w:r>
    </w:p>
    <w:bookmarkEnd w:id="36"/>
    <w:bookmarkStart w:id="37" w:name="e.3-hosting-and-infrastructure"/>
    <w:p>
      <w:pPr>
        <w:pStyle w:val="Heading2"/>
      </w:pPr>
      <w:r>
        <w:t xml:space="preserve">E.3 Hosting and infrastructure</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Value</w:t>
            </w:r>
          </w:p>
        </w:tc>
      </w:tr>
      <w:tr>
        <w:tc>
          <w:tcPr/>
          <w:p>
            <w:pPr>
              <w:pStyle w:val="Compact"/>
            </w:pPr>
            <w:r>
              <w:t xml:space="preserve">Host</w:t>
            </w:r>
          </w:p>
        </w:tc>
        <w:tc>
          <w:tcPr/>
          <w:p>
            <w:pPr>
              <w:pStyle w:val="Compact"/>
            </w:pPr>
            <w:r>
              <w:t xml:space="preserve">Netlify free tier (zero hosting cost to date)</w:t>
            </w:r>
          </w:p>
        </w:tc>
      </w:tr>
      <w:tr>
        <w:tc>
          <w:tcPr/>
          <w:p>
            <w:pPr>
              <w:pStyle w:val="Compact"/>
            </w:pPr>
            <w:r>
              <w:t xml:space="preserve">Domain</w:t>
            </w:r>
          </w:p>
        </w:tc>
        <w:tc>
          <w:tcPr/>
          <w:p>
            <w:pPr>
              <w:pStyle w:val="Compact"/>
            </w:pPr>
            <w:r>
              <w:rPr>
                <w:rStyle w:val="VerbatimChar"/>
              </w:rPr>
              <w:t xml:space="preserve">constitutionallaw.netlify.app</w:t>
            </w:r>
            <w:r>
              <w:t xml:space="preserve"> </w:t>
            </w:r>
            <w:r>
              <w:t xml:space="preserve">subdomain (no custom-domain cost)</w:t>
            </w:r>
          </w:p>
        </w:tc>
      </w:tr>
      <w:tr>
        <w:tc>
          <w:tcPr/>
          <w:p>
            <w:pPr>
              <w:pStyle w:val="Compact"/>
            </w:pPr>
            <w:r>
              <w:t xml:space="preserve">Vault size on disk</w:t>
            </w:r>
          </w:p>
        </w:tc>
        <w:tc>
          <w:tcPr/>
          <w:p>
            <w:pPr>
              <w:pStyle w:val="Compact"/>
            </w:pPr>
            <w:r>
              <w:t xml:space="preserve">Not captured in this repository snapshot</w:t>
            </w:r>
          </w:p>
        </w:tc>
      </w:tr>
    </w:tbl>
    <w:bookmarkEnd w:id="37"/>
    <w:bookmarkStart w:id="38" w:name="e.4-honest-caveats"/>
    <w:p>
      <w:pPr>
        <w:pStyle w:val="Heading2"/>
      </w:pPr>
      <w:r>
        <w:t xml:space="preserve">E.4 Honest caveats</w:t>
      </w:r>
    </w:p>
    <w:p>
      <w:pPr>
        <w:pStyle w:val="FirstParagraph"/>
      </w:pPr>
      <w:r>
        <w:t xml:space="preserve">What the logs do not capture:</w:t>
      </w:r>
    </w:p>
    <w:p>
      <w:pPr>
        <w:pStyle w:val="Compact"/>
        <w:numPr>
          <w:ilvl w:val="0"/>
          <w:numId w:val="1009"/>
        </w:numPr>
      </w:pPr>
      <w:r>
        <w:t xml:space="preserve">Token-level API spend. The vault’s run-scores do not record per-tick token counts, so no dollar figure for model usage can be derived from them.</w:t>
      </w:r>
    </w:p>
    <w:p>
      <w:pPr>
        <w:pStyle w:val="Compact"/>
        <w:numPr>
          <w:ilvl w:val="0"/>
          <w:numId w:val="1009"/>
        </w:numPr>
      </w:pPr>
      <w:r>
        <w:t xml:space="preserve">Human review hours. The scheduled task logs only its own runs; professorial review time is not loggable.</w:t>
      </w:r>
    </w:p>
    <w:p>
      <w:pPr>
        <w:pStyle w:val="Compact"/>
        <w:numPr>
          <w:ilvl w:val="0"/>
          <w:numId w:val="1009"/>
        </w:numPr>
      </w:pPr>
      <w:r>
        <w:t xml:space="preserve">The 198-page figure is deliverable size from Appendix A, not an effort measurement.</w:t>
      </w:r>
    </w:p>
    <w:p>
      <w:pPr>
        <w:pStyle w:val="Compact"/>
        <w:numPr>
          <w:ilvl w:val="0"/>
          <w:numId w:val="1009"/>
        </w:numPr>
      </w:pPr>
      <w:r>
        <w:t xml:space="preserve">Cognitive time spent designing prompts and rubrics is not loggable by a system that can only record its own runs.</w:t>
      </w:r>
    </w:p>
    <w:p>
      <w:pPr>
        <w:pStyle w:val="Compact"/>
        <w:numPr>
          <w:ilvl w:val="0"/>
          <w:numId w:val="1009"/>
        </w:numPr>
      </w:pPr>
      <w:r>
        <w:t xml:space="preserve">The autonomous loop that produced this paper is not costed here; it is incidental to the method the article evaluates, and the per-run token cost of either loop was never metered.</w:t>
      </w:r>
    </w:p>
    <w:p>
      <w:pPr>
        <w:pStyle w:val="FirstParagraph"/>
      </w:pPr>
      <w:r>
        <w:t xml:space="preserve">Cross-reference: Section IX (Cost and Labor) is the primary consumer of this appendix.</w:t>
      </w:r>
    </w:p>
    <w:bookmarkEnd w:id="38"/>
    <w:bookmarkEnd w:id="39"/>
    <w:bookmarkStart w:id="48" w:name="appendix-f.-technical-setup"/>
    <w:p>
      <w:pPr>
        <w:pStyle w:val="Heading1"/>
      </w:pPr>
      <w:r>
        <w:t xml:space="preserve">Appendix F. Technical Setup</w:t>
      </w:r>
    </w:p>
    <w:bookmarkStart w:id="40" w:name="appendix-f-technical-setup"/>
    <w:p>
      <w:pPr>
        <w:pStyle w:val="Heading2"/>
      </w:pPr>
      <w:r>
        <w:t xml:space="preserve">Appendix F: Technical Setup</w:t>
      </w:r>
    </w:p>
    <w:p>
      <w:pPr>
        <w:pStyle w:val="FirstParagraph"/>
      </w:pPr>
      <w:r>
        <w:t xml:space="preserve">Built directly from the vault’s</w:t>
      </w:r>
      <w:r>
        <w:t xml:space="preserve"> </w:t>
      </w:r>
      <w:r>
        <w:rPr>
          <w:rStyle w:val="VerbatimChar"/>
        </w:rPr>
        <w:t xml:space="preserve">.site/build.py</w:t>
      </w:r>
      <w:r>
        <w:t xml:space="preserve">, the hand-written</w:t>
      </w:r>
      <w:r>
        <w:t xml:space="preserve"> </w:t>
      </w:r>
      <w:r>
        <w:rPr>
          <w:rStyle w:val="VerbatimChar"/>
        </w:rPr>
        <w:t xml:space="preserve">dist/</w:t>
      </w:r>
      <w:r>
        <w:t xml:space="preserve"> </w:t>
      </w:r>
      <w:r>
        <w:t xml:space="preserve">shell,</w:t>
      </w:r>
      <w:r>
        <w:t xml:space="preserve"> </w:t>
      </w:r>
      <w:r>
        <w:rPr>
          <w:rStyle w:val="VerbatimChar"/>
        </w:rPr>
        <w:t xml:space="preserve">netlify.toml</w:t>
      </w:r>
      <w:r>
        <w:t xml:space="preserve">, and</w:t>
      </w:r>
      <w:r>
        <w:t xml:space="preserve"> </w:t>
      </w:r>
      <w:r>
        <w:rPr>
          <w:rStyle w:val="VerbatimChar"/>
        </w:rPr>
        <w:t xml:space="preserve">DEPLOY.md</w:t>
      </w:r>
      <w:r>
        <w:t xml:space="preserve">.</w:t>
      </w:r>
    </w:p>
    <w:bookmarkEnd w:id="40"/>
    <w:bookmarkStart w:id="41" w:name="f.1-component-stack"/>
    <w:p>
      <w:pPr>
        <w:pStyle w:val="Heading2"/>
      </w:pPr>
      <w:r>
        <w:t xml:space="preserve">F.1 Component stack</w:t>
      </w:r>
    </w:p>
    <w:tbl>
      <w:tblPr>
        <w:tblStyle w:val="Table"/>
        <w:tblW w:type="pct" w:w="5000"/>
        <w:tblLayout w:type="fixed"/>
        <w:tblLook w:firstRow="1" w:lastRow="0" w:firstColumn="0" w:lastColumn="0" w:noHBand="0" w:noVBand="0" w:val="0020"/>
      </w:tblPr>
      <w:tblGrid>
        <w:gridCol w:w="2917"/>
        <w:gridCol w:w="2501"/>
        <w:gridCol w:w="2501"/>
      </w:tblGrid>
      <w:tr>
        <w:trPr>
          <w:tblHeader w:val="on"/>
        </w:trPr>
        <w:tc>
          <w:tcPr/>
          <w:p>
            <w:pPr>
              <w:pStyle w:val="Compact"/>
            </w:pPr>
            <w:r>
              <w:t xml:space="preserve">Layer</w:t>
            </w:r>
          </w:p>
        </w:tc>
        <w:tc>
          <w:tcPr/>
          <w:p>
            <w:pPr>
              <w:pStyle w:val="Compact"/>
            </w:pPr>
            <w:r>
              <w:t xml:space="preserve">Tool</w:t>
            </w:r>
          </w:p>
        </w:tc>
        <w:tc>
          <w:tcPr/>
          <w:p>
            <w:pPr>
              <w:pStyle w:val="Compact"/>
            </w:pPr>
            <w:r>
              <w:t xml:space="preserve">Role</w:t>
            </w:r>
          </w:p>
        </w:tc>
      </w:tr>
      <w:tr>
        <w:tc>
          <w:tcPr/>
          <w:p>
            <w:pPr>
              <w:pStyle w:val="Compact"/>
            </w:pPr>
            <w:r>
              <w:t xml:space="preserve">Authoring</w:t>
            </w:r>
          </w:p>
        </w:tc>
        <w:tc>
          <w:tcPr/>
          <w:p>
            <w:pPr>
              <w:pStyle w:val="Compact"/>
            </w:pPr>
            <w:r>
              <w:t xml:space="preserve">Obsidian (free)</w:t>
            </w:r>
          </w:p>
        </w:tc>
        <w:tc>
          <w:tcPr/>
          <w:p>
            <w:pPr>
              <w:pStyle w:val="Compact"/>
            </w:pPr>
            <w:r>
              <w:t xml:space="preserve">Markdown editor over the vault</w:t>
            </w:r>
          </w:p>
        </w:tc>
      </w:tr>
      <w:tr>
        <w:tc>
          <w:tcPr/>
          <w:p>
            <w:pPr>
              <w:pStyle w:val="Compact"/>
            </w:pPr>
            <w:r>
              <w:t xml:space="preserve">Version control</w:t>
            </w:r>
          </w:p>
        </w:tc>
        <w:tc>
          <w:tcPr/>
          <w:p>
            <w:pPr>
              <w:pStyle w:val="Compact"/>
            </w:pPr>
            <w:r>
              <w:t xml:space="preserve">Git</w:t>
            </w:r>
          </w:p>
        </w:tc>
        <w:tc>
          <w:tcPr/>
          <w:p>
            <w:pPr>
              <w:pStyle w:val="Compact"/>
            </w:pPr>
            <w:r>
              <w:t xml:space="preserve">Vault tracked at github.com/Achansx/law-school-tools</w:t>
            </w:r>
          </w:p>
        </w:tc>
      </w:tr>
      <w:tr>
        <w:tc>
          <w:tcPr/>
          <w:p>
            <w:pPr>
              <w:pStyle w:val="Compact"/>
            </w:pPr>
            <w:r>
              <w:t xml:space="preserve">Build</w:t>
            </w:r>
          </w:p>
        </w:tc>
        <w:tc>
          <w:tcPr/>
          <w:p>
            <w:pPr>
              <w:pStyle w:val="Compact"/>
            </w:pPr>
            <w:r>
              <w:rPr>
                <w:rStyle w:val="VerbatimChar"/>
              </w:rPr>
              <w:t xml:space="preserve">.site/build.py</w:t>
            </w:r>
            <w:r>
              <w:t xml:space="preserve"> </w:t>
            </w:r>
            <w:r>
              <w:t xml:space="preserve">(~1,100 lines Python;</w:t>
            </w:r>
            <w:r>
              <w:t xml:space="preserve"> </w:t>
            </w:r>
            <w:r>
              <w:rPr>
                <w:rStyle w:val="VerbatimChar"/>
              </w:rPr>
              <w:t xml:space="preserve">markdown-it-py</w:t>
            </w:r>
            <w:r>
              <w:t xml:space="preserve">,</w:t>
            </w:r>
            <w:r>
              <w:t xml:space="preserve"> </w:t>
            </w:r>
            <w:r>
              <w:rPr>
                <w:rStyle w:val="VerbatimChar"/>
              </w:rPr>
              <w:t xml:space="preserve">PyYAML</w:t>
            </w:r>
            <w:r>
              <w:t xml:space="preserve">)</w:t>
            </w:r>
          </w:p>
        </w:tc>
        <w:tc>
          <w:tcPr/>
          <w:p>
            <w:pPr>
              <w:pStyle w:val="Compact"/>
            </w:pPr>
            <w:r>
              <w:t xml:space="preserve">Renders the corpus to JSON</w:t>
            </w:r>
          </w:p>
        </w:tc>
      </w:tr>
      <w:tr>
        <w:tc>
          <w:tcPr/>
          <w:p>
            <w:pPr>
              <w:pStyle w:val="Compact"/>
            </w:pPr>
            <w:r>
              <w:t xml:space="preserve">Static shell</w:t>
            </w:r>
          </w:p>
        </w:tc>
        <w:tc>
          <w:tcPr/>
          <w:p>
            <w:pPr>
              <w:pStyle w:val="Compact"/>
            </w:pPr>
            <w:r>
              <w:rPr>
                <w:rStyle w:val="VerbatimChar"/>
              </w:rPr>
              <w:t xml:space="preserve">index.html</w:t>
            </w:r>
            <w:r>
              <w:t xml:space="preserve">,</w:t>
            </w:r>
            <w:r>
              <w:t xml:space="preserve"> </w:t>
            </w:r>
            <w:r>
              <w:rPr>
                <w:rStyle w:val="VerbatimChar"/>
              </w:rPr>
              <w:t xml:space="preserve">app.js</w:t>
            </w:r>
            <w:r>
              <w:t xml:space="preserve">,</w:t>
            </w:r>
            <w:r>
              <w:t xml:space="preserve"> </w:t>
            </w:r>
            <w:r>
              <w:rPr>
                <w:rStyle w:val="VerbatimChar"/>
              </w:rPr>
              <w:t xml:space="preserve">style.css</w:t>
            </w:r>
            <w:r>
              <w:t xml:space="preserve">,</w:t>
            </w:r>
            <w:r>
              <w:t xml:space="preserve"> </w:t>
            </w:r>
            <w:r>
              <w:rPr>
                <w:rStyle w:val="VerbatimChar"/>
              </w:rPr>
              <w:t xml:space="preserve">_headers</w:t>
            </w:r>
            <w:r>
              <w:t xml:space="preserve">,</w:t>
            </w:r>
            <w:r>
              <w:t xml:space="preserve"> </w:t>
            </w:r>
            <w:r>
              <w:rPr>
                <w:rStyle w:val="VerbatimChar"/>
              </w:rPr>
              <w:t xml:space="preserve">_redirects</w:t>
            </w:r>
            <w:r>
              <w:t xml:space="preserve"> </w:t>
            </w:r>
            <w:r>
              <w:t xml:space="preserve">(hand-written)</w:t>
            </w:r>
          </w:p>
        </w:tc>
        <w:tc>
          <w:tcPr/>
          <w:p>
            <w:pPr>
              <w:pStyle w:val="Compact"/>
            </w:pPr>
            <w:r>
              <w:t xml:space="preserve">Client-side single-page app</w:t>
            </w:r>
          </w:p>
        </w:tc>
      </w:tr>
      <w:tr>
        <w:tc>
          <w:tcPr/>
          <w:p>
            <w:pPr>
              <w:pStyle w:val="Compact"/>
            </w:pPr>
            <w:r>
              <w:t xml:space="preserve">Deploy</w:t>
            </w:r>
          </w:p>
        </w:tc>
        <w:tc>
          <w:tcPr/>
          <w:p>
            <w:pPr>
              <w:pStyle w:val="Compact"/>
            </w:pPr>
            <w:r>
              <w:t xml:space="preserve">Netlify CLI direct upload (</w:t>
            </w:r>
            <w:r>
              <w:rPr>
                <w:rStyle w:val="VerbatimChar"/>
              </w:rPr>
              <w:t xml:space="preserve">--no-build</w:t>
            </w:r>
            <w:r>
              <w:t xml:space="preserve">)</w:t>
            </w:r>
          </w:p>
        </w:tc>
        <w:tc>
          <w:tcPr/>
          <w:p>
            <w:pPr>
              <w:pStyle w:val="Compact"/>
            </w:pPr>
            <w:r>
              <w:t xml:space="preserve">Zero Netlify build minutes</w:t>
            </w:r>
          </w:p>
        </w:tc>
      </w:tr>
      <w:tr>
        <w:tc>
          <w:tcPr/>
          <w:p>
            <w:pPr>
              <w:pStyle w:val="Compact"/>
            </w:pPr>
            <w:r>
              <w:t xml:space="preserve">Hosting</w:t>
            </w:r>
          </w:p>
        </w:tc>
        <w:tc>
          <w:tcPr/>
          <w:p>
            <w:pPr>
              <w:pStyle w:val="Compact"/>
            </w:pPr>
            <w:r>
              <w:t xml:space="preserve">Netlify free tier</w:t>
            </w:r>
          </w:p>
        </w:tc>
        <w:tc>
          <w:tcPr/>
          <w:p>
            <w:pPr>
              <w:pStyle w:val="Compact"/>
            </w:pPr>
            <w:r>
              <w:t xml:space="preserve">Serves constitutionallaw.netlify.app</w:t>
            </w:r>
          </w:p>
        </w:tc>
      </w:tr>
      <w:tr>
        <w:tc>
          <w:tcPr/>
          <w:p>
            <w:pPr>
              <w:pStyle w:val="Compact"/>
            </w:pPr>
            <w:r>
              <w:t xml:space="preserve">Feedback</w:t>
            </w:r>
          </w:p>
        </w:tc>
        <w:tc>
          <w:tcPr/>
          <w:p>
            <w:pPr>
              <w:pStyle w:val="Compact"/>
            </w:pPr>
            <w:r>
              <w:t xml:space="preserve">Netlify Forms (</w:t>
            </w:r>
            <w:r>
              <w:rPr>
                <w:rStyle w:val="VerbatimChar"/>
              </w:rPr>
              <w:t xml:space="preserve">page-feedback</w:t>
            </w:r>
            <w:r>
              <w:t xml:space="preserve">)</w:t>
            </w:r>
          </w:p>
        </w:tc>
        <w:tc>
          <w:tcPr/>
          <w:p>
            <w:pPr>
              <w:pStyle w:val="Compact"/>
            </w:pPr>
            <w:r>
              <w:t xml:space="preserve">Reader notes routed to the rotation</w:t>
            </w:r>
          </w:p>
        </w:tc>
      </w:tr>
      <w:tr>
        <w:tc>
          <w:tcPr/>
          <w:p>
            <w:pPr>
              <w:pStyle w:val="Compact"/>
            </w:pPr>
            <w:r>
              <w:t xml:space="preserve">Analytics</w:t>
            </w:r>
          </w:p>
        </w:tc>
        <w:tc>
          <w:tcPr/>
          <w:p>
            <w:pPr>
              <w:pStyle w:val="Compact"/>
            </w:pPr>
            <w:r>
              <w:t xml:space="preserve">PostHog (free tier)</w:t>
            </w:r>
          </w:p>
        </w:tc>
        <w:tc>
          <w:tcPr/>
          <w:p>
            <w:pPr>
              <w:pStyle w:val="Compact"/>
            </w:pPr>
            <w:r>
              <w:t xml:space="preserve">Privacy-respecting usage counts</w:t>
            </w:r>
          </w:p>
        </w:tc>
      </w:tr>
      <w:tr>
        <w:tc>
          <w:tcPr/>
          <w:p>
            <w:pPr>
              <w:pStyle w:val="Compact"/>
            </w:pPr>
            <w:r>
              <w:t xml:space="preserve">Quote verification</w:t>
            </w:r>
          </w:p>
        </w:tc>
        <w:tc>
          <w:tcPr/>
          <w:p>
            <w:pPr>
              <w:pStyle w:val="Compact"/>
            </w:pPr>
            <w:r>
              <w:t xml:space="preserve">Midpage MCP</w:t>
            </w:r>
          </w:p>
        </w:tc>
        <w:tc>
          <w:tcPr/>
          <w:p>
            <w:pPr>
              <w:pStyle w:val="Compact"/>
            </w:pPr>
            <w:r>
              <w:rPr>
                <w:rStyle w:val="VerbatimChar"/>
              </w:rPr>
              <w:t xml:space="preserve">findInOpinion</w:t>
            </w:r>
            <w:r>
              <w:t xml:space="preserve"> </w:t>
            </w:r>
            <w:r>
              <w:t xml:space="preserve">/</w:t>
            </w:r>
            <w:r>
              <w:t xml:space="preserve"> </w:t>
            </w:r>
            <w:r>
              <w:rPr>
                <w:rStyle w:val="VerbatimChar"/>
              </w:rPr>
              <w:t xml:space="preserve">analyzeOpinion</w:t>
            </w:r>
          </w:p>
        </w:tc>
      </w:tr>
    </w:tbl>
    <w:p>
      <w:pPr>
        <w:pStyle w:val="BodyText"/>
      </w:pPr>
      <w:r>
        <w:t xml:space="preserve">No LLM sits in the request path; the model runs only at build time.</w:t>
      </w:r>
    </w:p>
    <w:bookmarkEnd w:id="41"/>
    <w:bookmarkStart w:id="42" w:name="f.2-vault-layout"/>
    <w:p>
      <w:pPr>
        <w:pStyle w:val="Heading2"/>
      </w:pPr>
      <w:r>
        <w:t xml:space="preserve">F.2 Vault layout</w:t>
      </w:r>
    </w:p>
    <w:p>
      <w:pPr>
        <w:pStyle w:val="Compact"/>
        <w:numPr>
          <w:ilvl w:val="0"/>
          <w:numId w:val="1010"/>
        </w:numPr>
      </w:pPr>
      <w:r>
        <w:rPr>
          <w:rStyle w:val="VerbatimChar"/>
        </w:rPr>
        <w:t xml:space="preserve">Cases/</w:t>
      </w:r>
      <w:r>
        <w:t xml:space="preserve">: one structured brief per opinion (roughly 30-field schema).</w:t>
      </w:r>
    </w:p>
    <w:p>
      <w:pPr>
        <w:pStyle w:val="Compact"/>
        <w:numPr>
          <w:ilvl w:val="0"/>
          <w:numId w:val="1010"/>
        </w:numPr>
      </w:pPr>
      <w:r>
        <w:rPr>
          <w:rStyle w:val="VerbatimChar"/>
        </w:rPr>
        <w:t xml:space="preserve">Topics/</w:t>
      </w:r>
      <w:r>
        <w:t xml:space="preserve">: doctrinal synthesis pages.</w:t>
      </w:r>
    </w:p>
    <w:p>
      <w:pPr>
        <w:pStyle w:val="Compact"/>
        <w:numPr>
          <w:ilvl w:val="0"/>
          <w:numId w:val="1010"/>
        </w:numPr>
      </w:pPr>
      <w:r>
        <w:rPr>
          <w:rStyle w:val="VerbatimChar"/>
        </w:rPr>
        <w:t xml:space="preserve">Lectures/</w:t>
      </w:r>
      <w:r>
        <w:t xml:space="preserve">: lecture summaries that preserve the professor’s framing.</w:t>
      </w:r>
    </w:p>
    <w:p>
      <w:pPr>
        <w:pStyle w:val="Compact"/>
        <w:numPr>
          <w:ilvl w:val="0"/>
          <w:numId w:val="1010"/>
        </w:numPr>
      </w:pPr>
      <w:r>
        <w:rPr>
          <w:rStyle w:val="VerbatimChar"/>
        </w:rPr>
        <w:t xml:space="preserve">Source Materials/</w:t>
      </w:r>
      <w:r>
        <w:t xml:space="preserve">: original decks and PDFs, served as downloads.</w:t>
      </w:r>
    </w:p>
    <w:p>
      <w:pPr>
        <w:pStyle w:val="Compact"/>
        <w:numPr>
          <w:ilvl w:val="0"/>
          <w:numId w:val="1010"/>
        </w:numPr>
      </w:pPr>
      <w:r>
        <w:rPr>
          <w:rStyle w:val="VerbatimChar"/>
        </w:rPr>
        <w:t xml:space="preserve">Templates/</w:t>
      </w:r>
      <w:r>
        <w:t xml:space="preserve">: frontmatter schemas for each content type.</w:t>
      </w:r>
    </w:p>
    <w:p>
      <w:pPr>
        <w:pStyle w:val="Compact"/>
        <w:numPr>
          <w:ilvl w:val="0"/>
          <w:numId w:val="1010"/>
        </w:numPr>
      </w:pPr>
      <w:r>
        <w:rPr>
          <w:rStyle w:val="VerbatimChar"/>
        </w:rPr>
        <w:t xml:space="preserve">.site/</w:t>
      </w:r>
      <w:r>
        <w:t xml:space="preserve">:</w:t>
      </w:r>
      <w:r>
        <w:t xml:space="preserve"> </w:t>
      </w:r>
      <w:r>
        <w:rPr>
          <w:rStyle w:val="VerbatimChar"/>
        </w:rPr>
        <w:t xml:space="preserve">build.py</w:t>
      </w:r>
      <w:r>
        <w:t xml:space="preserve">, the</w:t>
      </w:r>
      <w:r>
        <w:t xml:space="preserve"> </w:t>
      </w:r>
      <w:r>
        <w:rPr>
          <w:rStyle w:val="VerbatimChar"/>
        </w:rPr>
        <w:t xml:space="preserve">dist/</w:t>
      </w:r>
      <w:r>
        <w:t xml:space="preserve"> </w:t>
      </w:r>
      <w:r>
        <w:t xml:space="preserve">shell, and</w:t>
      </w:r>
      <w:r>
        <w:t xml:space="preserve"> </w:t>
      </w:r>
      <w:r>
        <w:rPr>
          <w:rStyle w:val="VerbatimChar"/>
        </w:rPr>
        <w:t xml:space="preserve">deploy.sh</w:t>
      </w:r>
      <w:r>
        <w:t xml:space="preserve">.</w:t>
      </w:r>
    </w:p>
    <w:p>
      <w:pPr>
        <w:pStyle w:val="Compact"/>
        <w:numPr>
          <w:ilvl w:val="0"/>
          <w:numId w:val="1010"/>
        </w:numPr>
      </w:pPr>
      <w:r>
        <w:rPr>
          <w:rStyle w:val="VerbatimChar"/>
        </w:rPr>
        <w:t xml:space="preserve">rubric/</w:t>
      </w:r>
      <w:r>
        <w:t xml:space="preserve">,</w:t>
      </w:r>
      <w:r>
        <w:t xml:space="preserve"> </w:t>
      </w:r>
      <w:r>
        <w:rPr>
          <w:rStyle w:val="VerbatimChar"/>
        </w:rPr>
        <w:t xml:space="preserve">RUNBOOK.md</w:t>
      </w:r>
      <w:r>
        <w:t xml:space="preserve">,</w:t>
      </w:r>
      <w:r>
        <w:t xml:space="preserve"> </w:t>
      </w:r>
      <w:r>
        <w:rPr>
          <w:rStyle w:val="VerbatimChar"/>
        </w:rPr>
        <w:t xml:space="preserve">PROJECT_PRIMER.md</w:t>
      </w:r>
      <w:r>
        <w:t xml:space="preserve">,</w:t>
      </w:r>
      <w:r>
        <w:t xml:space="preserve"> </w:t>
      </w:r>
      <w:r>
        <w:rPr>
          <w:rStyle w:val="VerbatimChar"/>
        </w:rPr>
        <w:t xml:space="preserve">LESSONS.md</w:t>
      </w:r>
      <w:r>
        <w:t xml:space="preserve">,</w:t>
      </w:r>
      <w:r>
        <w:t xml:space="preserve"> </w:t>
      </w:r>
      <w:r>
        <w:rPr>
          <w:rStyle w:val="VerbatimChar"/>
        </w:rPr>
        <w:t xml:space="preserve">CHANGELOG.md</w:t>
      </w:r>
      <w:r>
        <w:t xml:space="preserve">: the maintenance harness.</w:t>
      </w:r>
    </w:p>
    <w:bookmarkEnd w:id="42"/>
    <w:bookmarkStart w:id="43" w:name="f.3-build-and-deploy-pipeline"/>
    <w:p>
      <w:pPr>
        <w:pStyle w:val="Heading2"/>
      </w:pPr>
      <w:r>
        <w:t xml:space="preserve">F.3 Build and deploy pipeline</w:t>
      </w:r>
    </w:p>
    <w:p>
      <w:pPr>
        <w:pStyle w:val="Compact"/>
        <w:numPr>
          <w:ilvl w:val="0"/>
          <w:numId w:val="1011"/>
        </w:numPr>
      </w:pPr>
      <w:r>
        <w:rPr>
          <w:rStyle w:val="VerbatimChar"/>
        </w:rPr>
        <w:t xml:space="preserve">build.py</w:t>
      </w:r>
      <w:r>
        <w:t xml:space="preserve"> </w:t>
      </w:r>
      <w:r>
        <w:t xml:space="preserve">reads</w:t>
      </w:r>
      <w:r>
        <w:t xml:space="preserve"> </w:t>
      </w:r>
      <w:r>
        <w:rPr>
          <w:rStyle w:val="VerbatimChar"/>
        </w:rPr>
        <w:t xml:space="preserve">VAULT_DIR</w:t>
      </w:r>
      <w:r>
        <w:t xml:space="preserve"> </w:t>
      </w:r>
      <w:r>
        <w:t xml:space="preserve">and</w:t>
      </w:r>
      <w:r>
        <w:t xml:space="preserve"> </w:t>
      </w:r>
      <w:r>
        <w:rPr>
          <w:rStyle w:val="VerbatimChar"/>
        </w:rPr>
        <w:t xml:space="preserve">OUT_DIR</w:t>
      </w:r>
      <w:r>
        <w:t xml:space="preserve"> </w:t>
      </w:r>
      <w:r>
        <w:t xml:space="preserve">from the environment, walks</w:t>
      </w:r>
      <w:r>
        <w:t xml:space="preserve"> </w:t>
      </w:r>
      <w:r>
        <w:rPr>
          <w:rStyle w:val="VerbatimChar"/>
        </w:rPr>
        <w:t xml:space="preserve">Cases/</w:t>
      </w:r>
      <w:r>
        <w:t xml:space="preserve">,</w:t>
      </w:r>
      <w:r>
        <w:t xml:space="preserve"> </w:t>
      </w:r>
      <w:r>
        <w:rPr>
          <w:rStyle w:val="VerbatimChar"/>
        </w:rPr>
        <w:t xml:space="preserve">Topics/</w:t>
      </w:r>
      <w:r>
        <w:t xml:space="preserve">, and</w:t>
      </w:r>
      <w:r>
        <w:t xml:space="preserve"> </w:t>
      </w:r>
      <w:r>
        <w:rPr>
          <w:rStyle w:val="VerbatimChar"/>
        </w:rPr>
        <w:t xml:space="preserve">Lectures/</w:t>
      </w:r>
      <w:r>
        <w:t xml:space="preserve">, parses each page’s frontmatter with</w:t>
      </w:r>
      <w:r>
        <w:t xml:space="preserve"> </w:t>
      </w:r>
      <w:r>
        <w:rPr>
          <w:rStyle w:val="VerbatimChar"/>
        </w:rPr>
        <w:t xml:space="preserve">PyYAML</w:t>
      </w:r>
      <w:r>
        <w:t xml:space="preserve">, renders the body with</w:t>
      </w:r>
      <w:r>
        <w:t xml:space="preserve"> </w:t>
      </w:r>
      <w:r>
        <w:rPr>
          <w:rStyle w:val="VerbatimChar"/>
        </w:rPr>
        <w:t xml:space="preserve">markdown-it-py</w:t>
      </w:r>
      <w:r>
        <w:t xml:space="preserve"> </w:t>
      </w:r>
      <w:r>
        <w:t xml:space="preserve">(CommonMark, tables and strikethrough enabled), and resolves</w:t>
      </w:r>
      <w:r>
        <w:t xml:space="preserve"> </w:t>
      </w:r>
      <w:r>
        <w:rPr>
          <w:rStyle w:val="VerbatimChar"/>
        </w:rPr>
        <w:t xml:space="preserve">[[wiki-link]]</w:t>
      </w:r>
      <w:r>
        <w:t xml:space="preserve"> </w:t>
      </w:r>
      <w:r>
        <w:t xml:space="preserve">syntax into</w:t>
      </w:r>
      <w:r>
        <w:t xml:space="preserve"> </w:t>
      </w:r>
      <w:r>
        <w:rPr>
          <w:rStyle w:val="VerbatimChar"/>
        </w:rPr>
        <w:t xml:space="preserve">#/p/&lt;kind&gt;/&lt;slug&gt;</w:t>
      </w:r>
      <w:r>
        <w:t xml:space="preserve"> </w:t>
      </w:r>
      <w:r>
        <w:t xml:space="preserve">hash routes.</w:t>
      </w:r>
    </w:p>
    <w:p>
      <w:pPr>
        <w:pStyle w:val="Compact"/>
        <w:numPr>
          <w:ilvl w:val="0"/>
          <w:numId w:val="1011"/>
        </w:numPr>
      </w:pPr>
      <w:r>
        <w:t xml:space="preserve">It writes five JSON artifacts to</w:t>
      </w:r>
      <w:r>
        <w:t xml:space="preserve"> </w:t>
      </w:r>
      <w:r>
        <w:rPr>
          <w:rStyle w:val="VerbatimChar"/>
        </w:rPr>
        <w:t xml:space="preserve">dist/</w:t>
      </w:r>
      <w:r>
        <w:t xml:space="preserve">:</w:t>
      </w:r>
      <w:r>
        <w:t xml:space="preserve"> </w:t>
      </w:r>
      <w:r>
        <w:rPr>
          <w:rStyle w:val="VerbatimChar"/>
        </w:rPr>
        <w:t xml:space="preserve">pages.json</w:t>
      </w:r>
      <w:r>
        <w:t xml:space="preserve"> </w:t>
      </w:r>
      <w:r>
        <w:t xml:space="preserve">(corpus plus rendered HTML and plaintext),</w:t>
      </w:r>
      <w:r>
        <w:t xml:space="preserve"> </w:t>
      </w:r>
      <w:r>
        <w:rPr>
          <w:rStyle w:val="VerbatimChar"/>
        </w:rPr>
        <w:t xml:space="preserve">manifest.json</w:t>
      </w:r>
      <w:r>
        <w:t xml:space="preserve"> </w:t>
      </w:r>
      <w:r>
        <w:t xml:space="preserve">(counts and nav),</w:t>
      </w:r>
      <w:r>
        <w:t xml:space="preserve"> </w:t>
      </w:r>
      <w:r>
        <w:rPr>
          <w:rStyle w:val="VerbatimChar"/>
        </w:rPr>
        <w:t xml:space="preserve">search.json</w:t>
      </w:r>
      <w:r>
        <w:t xml:space="preserve"> </w:t>
      </w:r>
      <w:r>
        <w:t xml:space="preserve">(</w:t>
      </w:r>
      <w:r>
        <w:rPr>
          <w:rStyle w:val="VerbatimChar"/>
        </w:rPr>
        <w:t xml:space="preserve">{id, title, kind, area, doctrines, text}</w:t>
      </w:r>
      <w:r>
        <w:t xml:space="preserve">),</w:t>
      </w:r>
      <w:r>
        <w:t xml:space="preserve"> </w:t>
      </w:r>
      <w:r>
        <w:rPr>
          <w:rStyle w:val="VerbatimChar"/>
        </w:rPr>
        <w:t xml:space="preserve">recent.json</w:t>
      </w:r>
      <w:r>
        <w:t xml:space="preserve">, and</w:t>
      </w:r>
      <w:r>
        <w:t xml:space="preserve"> </w:t>
      </w:r>
      <w:r>
        <w:rPr>
          <w:rStyle w:val="VerbatimChar"/>
        </w:rPr>
        <w:t xml:space="preserve">build_errors.json</w:t>
      </w:r>
      <w:r>
        <w:t xml:space="preserve"> </w:t>
      </w:r>
      <w:r>
        <w:t xml:space="preserve">(pages whose frontmatter failed to parse, for the Lint phase).</w:t>
      </w:r>
    </w:p>
    <w:p>
      <w:pPr>
        <w:pStyle w:val="Compact"/>
        <w:numPr>
          <w:ilvl w:val="0"/>
          <w:numId w:val="1011"/>
        </w:numPr>
      </w:pPr>
      <w:r>
        <w:t xml:space="preserve">It mirrors</w:t>
      </w:r>
      <w:r>
        <w:t xml:space="preserve"> </w:t>
      </w:r>
      <w:r>
        <w:rPr>
          <w:rStyle w:val="VerbatimChar"/>
        </w:rPr>
        <w:t xml:space="preserve">Source Materials/</w:t>
      </w:r>
      <w:r>
        <w:t xml:space="preserve"> </w:t>
      </w:r>
      <w:r>
        <w:t xml:space="preserve">into</w:t>
      </w:r>
      <w:r>
        <w:t xml:space="preserve"> </w:t>
      </w:r>
      <w:r>
        <w:rPr>
          <w:rStyle w:val="VerbatimChar"/>
        </w:rPr>
        <w:t xml:space="preserve">dist/source/</w:t>
      </w:r>
      <w:r>
        <w:t xml:space="preserve"> </w:t>
      </w:r>
      <w:r>
        <w:t xml:space="preserve">(cleared each build via</w:t>
      </w:r>
      <w:r>
        <w:t xml:space="preserve"> </w:t>
      </w:r>
      <w:r>
        <w:rPr>
          <w:rStyle w:val="VerbatimChar"/>
        </w:rPr>
        <w:t xml:space="preserve">shutil.rmtree(ignore_errors=True)</w:t>
      </w:r>
      <w:r>
        <w:t xml:space="preserve"> </w:t>
      </w:r>
      <w:r>
        <w:t xml:space="preserve">to survive iCloud quarantine) and rewrites every</w:t>
      </w:r>
      <w:r>
        <w:t xml:space="preserve"> </w:t>
      </w:r>
      <w:r>
        <w:rPr>
          <w:rStyle w:val="VerbatimChar"/>
        </w:rPr>
        <w:t xml:space="preserve">[[Source Materials/...]]</w:t>
      </w:r>
      <w:r>
        <w:t xml:space="preserve"> </w:t>
      </w:r>
      <w:r>
        <w:t xml:space="preserve">wikilink into an</w:t>
      </w:r>
      <w:r>
        <w:t xml:space="preserve"> </w:t>
      </w:r>
      <w:r>
        <w:rPr>
          <w:rStyle w:val="VerbatimChar"/>
        </w:rPr>
        <w:t xml:space="preserve">&lt;a class="source-download" ... download&gt;</w:t>
      </w:r>
      <w:r>
        <w:t xml:space="preserve"> </w:t>
      </w:r>
      <w:r>
        <w:t xml:space="preserve">element.</w:t>
      </w:r>
    </w:p>
    <w:p>
      <w:pPr>
        <w:pStyle w:val="Compact"/>
        <w:numPr>
          <w:ilvl w:val="0"/>
          <w:numId w:val="1011"/>
        </w:numPr>
      </w:pPr>
      <w:r>
        <w:t xml:space="preserve">The hand-written shell loads the JSON at runtime: hash-route nav (</w:t>
      </w:r>
      <w:r>
        <w:rPr>
          <w:rStyle w:val="VerbatimChar"/>
        </w:rPr>
        <w:t xml:space="preserve">#/</w:t>
      </w:r>
      <w:r>
        <w:t xml:space="preserve">,</w:t>
      </w:r>
      <w:r>
        <w:t xml:space="preserve"> </w:t>
      </w:r>
      <w:r>
        <w:rPr>
          <w:rStyle w:val="VerbatimChar"/>
        </w:rPr>
        <w:t xml:space="preserve">#/cases</w:t>
      </w:r>
      <w:r>
        <w:t xml:space="preserve">,</w:t>
      </w:r>
      <w:r>
        <w:t xml:space="preserve"> </w:t>
      </w:r>
      <w:r>
        <w:rPr>
          <w:rStyle w:val="VerbatimChar"/>
        </w:rPr>
        <w:t xml:space="preserve">#/topics</w:t>
      </w:r>
      <w:r>
        <w:t xml:space="preserve">,</w:t>
      </w:r>
      <w:r>
        <w:t xml:space="preserve"> </w:t>
      </w:r>
      <w:r>
        <w:rPr>
          <w:rStyle w:val="VerbatimChar"/>
        </w:rPr>
        <w:t xml:space="preserve">#/lectures</w:t>
      </w:r>
      <w:r>
        <w:t xml:space="preserve">,</w:t>
      </w:r>
      <w:r>
        <w:t xml:space="preserve"> </w:t>
      </w:r>
      <w:r>
        <w:rPr>
          <w:rStyle w:val="VerbatimChar"/>
        </w:rPr>
        <w:t xml:space="preserve">#/recent</w:t>
      </w:r>
      <w:r>
        <w:t xml:space="preserve">,</w:t>
      </w:r>
      <w:r>
        <w:t xml:space="preserve"> </w:t>
      </w:r>
      <w:r>
        <w:rPr>
          <w:rStyle w:val="VerbatimChar"/>
        </w:rPr>
        <w:t xml:space="preserve">#/about</w:t>
      </w:r>
      <w:r>
        <w:t xml:space="preserve">), a ⌘K search palette, a pre-paint theme toggle (</w:t>
      </w:r>
      <w:r>
        <w:rPr>
          <w:rStyle w:val="VerbatimChar"/>
        </w:rPr>
        <w:t xml:space="preserve">localStorage</w:t>
      </w:r>
      <w:r>
        <w:t xml:space="preserve"> </w:t>
      </w:r>
      <w:r>
        <w:t xml:space="preserve">key</w:t>
      </w:r>
      <w:r>
        <w:t xml:space="preserve"> </w:t>
      </w:r>
      <w:r>
        <w:rPr>
          <w:rStyle w:val="VerbatimChar"/>
        </w:rPr>
        <w:t xml:space="preserve">cl-theme</w:t>
      </w:r>
      <w:r>
        <w:t xml:space="preserve">), and a</w:t>
      </w:r>
      <w:r>
        <w:t xml:space="preserve"> </w:t>
      </w:r>
      <w:r>
        <w:rPr>
          <w:rStyle w:val="VerbatimChar"/>
        </w:rPr>
        <w:t xml:space="preserve">page-feedback</w:t>
      </w:r>
      <w:r>
        <w:t xml:space="preserve"> </w:t>
      </w:r>
      <w:r>
        <w:t xml:space="preserve">Netlify Form. PostHog is initialized with</w:t>
      </w:r>
      <w:r>
        <w:t xml:space="preserve"> </w:t>
      </w:r>
      <w:r>
        <w:rPr>
          <w:rStyle w:val="VerbatimChar"/>
        </w:rPr>
        <w:t xml:space="preserve">disable_session_recording: true</w:t>
      </w:r>
      <w:r>
        <w:t xml:space="preserve">,</w:t>
      </w:r>
      <w:r>
        <w:t xml:space="preserve"> </w:t>
      </w:r>
      <w:r>
        <w:rPr>
          <w:rStyle w:val="VerbatimChar"/>
        </w:rPr>
        <w:t xml:space="preserve">respect_dnt: true</w:t>
      </w:r>
      <w:r>
        <w:t xml:space="preserve">,</w:t>
      </w:r>
      <w:r>
        <w:t xml:space="preserve"> </w:t>
      </w:r>
      <w:r>
        <w:rPr>
          <w:rStyle w:val="VerbatimChar"/>
        </w:rPr>
        <w:t xml:space="preserve">capture_pageview: false</w:t>
      </w:r>
      <w:r>
        <w:t xml:space="preserve">, and an</w:t>
      </w:r>
      <w:r>
        <w:t xml:space="preserve"> </w:t>
      </w:r>
      <w:r>
        <w:rPr>
          <w:rStyle w:val="VerbatimChar"/>
        </w:rPr>
        <w:t xml:space="preserve">app: 'con-law-wiki'</w:t>
      </w:r>
      <w:r>
        <w:t xml:space="preserve"> </w:t>
      </w:r>
      <w:r>
        <w:t xml:space="preserve">tag on every event; the write key is public and embedded.</w:t>
      </w:r>
    </w:p>
    <w:p>
      <w:pPr>
        <w:pStyle w:val="Compact"/>
        <w:numPr>
          <w:ilvl w:val="0"/>
          <w:numId w:val="1011"/>
        </w:numPr>
      </w:pPr>
      <w:r>
        <w:t xml:space="preserve">Deploy is a direct upload via the Netlify CLI (</w:t>
      </w:r>
      <w:r>
        <w:rPr>
          <w:rStyle w:val="VerbatimChar"/>
        </w:rPr>
        <w:t xml:space="preserve">npx netlify-cli deploy --no-build --prod --dir . --site &lt;id&gt;</w:t>
      </w:r>
      <w:r>
        <w:t xml:space="preserve">) using the gitignored PAT at</w:t>
      </w:r>
      <w:r>
        <w:t xml:space="preserve"> </w:t>
      </w:r>
      <w:r>
        <w:rPr>
          <w:rStyle w:val="VerbatimChar"/>
        </w:rPr>
        <w:t xml:space="preserve">.site/.netlify-token</w:t>
      </w:r>
      <w:r>
        <w:t xml:space="preserve">; this consumes no build minutes. The Netlify MCP (</w:t>
      </w:r>
      <w:r>
        <w:rPr>
          <w:rStyle w:val="VerbatimChar"/>
        </w:rPr>
        <w:t xml:space="preserve">netlify-deploy-services-updater</w:t>
      </w:r>
      <w:r>
        <w:t xml:space="preserve">) is the fallback and does consume minutes;</w:t>
      </w:r>
      <w:r>
        <w:t xml:space="preserve"> </w:t>
      </w:r>
      <w:r>
        <w:rPr>
          <w:rStyle w:val="VerbatimChar"/>
        </w:rPr>
        <w:t xml:space="preserve">deploy.sh</w:t>
      </w:r>
      <w:r>
        <w:t xml:space="preserve"> </w:t>
      </w:r>
      <w:r>
        <w:t xml:space="preserve">(exit 42 if the token is missing) is the last resort.</w:t>
      </w:r>
    </w:p>
    <w:p>
      <w:pPr>
        <w:pStyle w:val="Compact"/>
        <w:numPr>
          <w:ilvl w:val="0"/>
          <w:numId w:val="1011"/>
        </w:numPr>
      </w:pPr>
      <w:r>
        <w:t xml:space="preserve">Post-deploy verification cross-checks the live</w:t>
      </w:r>
      <w:r>
        <w:t xml:space="preserve"> </w:t>
      </w:r>
      <w:r>
        <w:rPr>
          <w:rStyle w:val="VerbatimChar"/>
        </w:rPr>
        <w:t xml:space="preserve">manifest.json</w:t>
      </w:r>
      <w:r>
        <w:t xml:space="preserve"> </w:t>
      </w:r>
      <w:r>
        <w:t xml:space="preserve">counts (</w:t>
      </w:r>
      <w:r>
        <w:rPr>
          <w:rStyle w:val="VerbatimChar"/>
        </w:rPr>
        <w:t xml:space="preserve">case</w:t>
      </w:r>
      <w:r>
        <w:t xml:space="preserve">,</w:t>
      </w:r>
      <w:r>
        <w:t xml:space="preserve"> </w:t>
      </w:r>
      <w:r>
        <w:rPr>
          <w:rStyle w:val="VerbatimChar"/>
        </w:rPr>
        <w:t xml:space="preserve">topic</w:t>
      </w:r>
      <w:r>
        <w:t xml:space="preserve">,</w:t>
      </w:r>
      <w:r>
        <w:t xml:space="preserve"> </w:t>
      </w:r>
      <w:r>
        <w:rPr>
          <w:rStyle w:val="VerbatimChar"/>
        </w:rPr>
        <w:t xml:space="preserve">lecture</w:t>
      </w:r>
      <w:r>
        <w:t xml:space="preserve">,</w:t>
      </w:r>
      <w:r>
        <w:t xml:space="preserve"> </w:t>
      </w:r>
      <w:r>
        <w:rPr>
          <w:rStyle w:val="VerbatimChar"/>
        </w:rPr>
        <w:t xml:space="preserve">total</w:t>
      </w:r>
      <w:r>
        <w:t xml:space="preserve">) against the build, confirms the deploy record is</w:t>
      </w:r>
      <w:r>
        <w:t xml:space="preserve"> </w:t>
      </w:r>
      <w:r>
        <w:rPr>
          <w:rStyle w:val="VerbatimChar"/>
        </w:rPr>
        <w:t xml:space="preserve">ready</w:t>
      </w:r>
      <w:r>
        <w:t xml:space="preserve">, GETs a deterministic sample of five case briefs and three topics for their titles, confirms the live</w:t>
      </w:r>
      <w:r>
        <w:t xml:space="preserve"> </w:t>
      </w:r>
      <w:r>
        <w:rPr>
          <w:rStyle w:val="VerbatimChar"/>
        </w:rPr>
        <w:t xml:space="preserve">search.json</w:t>
      </w:r>
      <w:r>
        <w:t xml:space="preserve"> </w:t>
      </w:r>
      <w:r>
        <w:t xml:space="preserve">surfaces</w:t>
      </w:r>
      <w:r>
        <w:t xml:space="preserve"> </w:t>
      </w:r>
      <w:r>
        <w:t xml:space="preserve">“Marbury”</w:t>
      </w:r>
      <w:r>
        <w:t xml:space="preserve"> </w:t>
      </w:r>
      <w:r>
        <w:t xml:space="preserve">for</w:t>
      </w:r>
      <w:r>
        <w:t xml:space="preserve"> </w:t>
      </w:r>
      <w:r>
        <w:t xml:space="preserve">“judicial review,”</w:t>
      </w:r>
      <w:r>
        <w:t xml:space="preserve"> </w:t>
      </w:r>
      <w:r>
        <w:t xml:space="preserve">and HEADs five</w:t>
      </w:r>
      <w:r>
        <w:t xml:space="preserve"> </w:t>
      </w:r>
      <w:r>
        <w:rPr>
          <w:rStyle w:val="VerbatimChar"/>
        </w:rPr>
        <w:t xml:space="preserve">Source Materials</w:t>
      </w:r>
      <w:r>
        <w:t xml:space="preserve"> </w:t>
      </w:r>
      <w:r>
        <w:t xml:space="preserve">files for HTTP 200 and the right</w:t>
      </w:r>
      <w:r>
        <w:t xml:space="preserve"> </w:t>
      </w:r>
      <w:r>
        <w:rPr>
          <w:rStyle w:val="VerbatimChar"/>
        </w:rPr>
        <w:t xml:space="preserve">Content-Type</w:t>
      </w:r>
      <w:r>
        <w:t xml:space="preserve">. The budget is ten to fifteen seconds.</w:t>
      </w:r>
    </w:p>
    <w:p>
      <w:pPr>
        <w:pStyle w:val="FirstParagraph"/>
      </w:pPr>
      <w:r>
        <w:t xml:space="preserve">Deployed</w:t>
      </w:r>
      <w:r>
        <w:t xml:space="preserve"> </w:t>
      </w:r>
      <w:r>
        <w:rPr>
          <w:rStyle w:val="VerbatimChar"/>
        </w:rPr>
        <w:t xml:space="preserve">dist/netlify.toml</w:t>
      </w:r>
      <w:r>
        <w:t xml:space="preserve">, reproduced verbatim:</w:t>
      </w:r>
    </w:p>
    <w:p>
      <w:pPr>
        <w:pStyle w:val="SourceCode"/>
      </w:pPr>
      <w:r>
        <w:rPr>
          <w:rStyle w:val="KeywordTok"/>
        </w:rPr>
        <w:t xml:space="preserve">[build]</w:t>
      </w:r>
      <w:r>
        <w:br/>
      </w:r>
      <w:r>
        <w:rPr>
          <w:rStyle w:val="NormalTok"/>
        </w:rPr>
        <w:t xml:space="preserve">  </w:t>
      </w:r>
      <w:r>
        <w:rPr>
          <w:rStyle w:val="DataTypeTok"/>
        </w:rPr>
        <w:t xml:space="preserve">publish</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DataTypeTok"/>
        </w:rPr>
        <w:t xml:space="preserve">command</w:t>
      </w:r>
      <w:r>
        <w:rPr>
          <w:rStyle w:val="NormalTok"/>
        </w:rPr>
        <w:t xml:space="preserve"> </w:t>
      </w:r>
      <w:r>
        <w:rPr>
          <w:rStyle w:val="OperatorTok"/>
        </w:rPr>
        <w:t xml:space="preserve">=</w:t>
      </w:r>
      <w:r>
        <w:rPr>
          <w:rStyle w:val="NormalTok"/>
        </w:rPr>
        <w:t xml:space="preserve"> </w:t>
      </w:r>
      <w:r>
        <w:rPr>
          <w:rStyle w:val="StringTok"/>
        </w:rPr>
        <w:t xml:space="preserve">""</w:t>
      </w:r>
      <w:r>
        <w:br/>
      </w:r>
      <w:r>
        <w:br/>
      </w:r>
      <w:r>
        <w:rPr>
          <w:rStyle w:val="KeywordTok"/>
        </w:rPr>
        <w:t xml:space="preserve">[[redirects]]</w:t>
      </w:r>
      <w:r>
        <w:br/>
      </w:r>
      <w:r>
        <w:rPr>
          <w:rStyle w:val="NormalTok"/>
        </w:rPr>
        <w:t xml:space="preserve">  </w:t>
      </w:r>
      <w:r>
        <w:rPr>
          <w:rStyle w:val="DataTypeTok"/>
        </w:rPr>
        <w:t xml:space="preserve">from</w:t>
      </w:r>
      <w:r>
        <w:rPr>
          <w:rStyle w:val="NormalTok"/>
        </w:rPr>
        <w:t xml:space="preserve"> </w:t>
      </w:r>
      <w:r>
        <w:rPr>
          <w:rStyle w:val="OperatorTok"/>
        </w:rPr>
        <w:t xml:space="preserve">=</w:t>
      </w:r>
      <w:r>
        <w:rPr>
          <w:rStyle w:val="NormalTok"/>
        </w:rPr>
        <w:t xml:space="preserve"> </w:t>
      </w:r>
      <w:r>
        <w:rPr>
          <w:rStyle w:val="StringTok"/>
        </w:rPr>
        <w:t xml:space="preserve">"/*"</w:t>
      </w:r>
      <w:r>
        <w:br/>
      </w:r>
      <w:r>
        <w:rPr>
          <w:rStyle w:val="NormalTok"/>
        </w:rPr>
        <w:t xml:space="preserve">  </w:t>
      </w:r>
      <w:r>
        <w:rPr>
          <w:rStyle w:val="DataTypeTok"/>
        </w:rPr>
        <w:t xml:space="preserve">to</w:t>
      </w:r>
      <w:r>
        <w:rPr>
          <w:rStyle w:val="NormalTok"/>
        </w:rPr>
        <w:t xml:space="preserve"> </w:t>
      </w:r>
      <w:r>
        <w:rPr>
          <w:rStyle w:val="OperatorTok"/>
        </w:rPr>
        <w:t xml:space="preserve">=</w:t>
      </w:r>
      <w:r>
        <w:rPr>
          <w:rStyle w:val="NormalTok"/>
        </w:rPr>
        <w:t xml:space="preserve"> </w:t>
      </w:r>
      <w:r>
        <w:rPr>
          <w:rStyle w:val="StringTok"/>
        </w:rPr>
        <w:t xml:space="preserve">"/index.html"</w:t>
      </w:r>
      <w:r>
        <w:br/>
      </w:r>
      <w:r>
        <w:rPr>
          <w:rStyle w:val="NormalTok"/>
        </w:rPr>
        <w:t xml:space="preserve">  </w:t>
      </w:r>
      <w:r>
        <w:rPr>
          <w:rStyle w:val="DataTyp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br/>
      </w:r>
      <w:r>
        <w:br/>
      </w:r>
      <w:r>
        <w:rPr>
          <w:rStyle w:val="KeywordTok"/>
        </w:rPr>
        <w:t xml:space="preserve">[build.processing]</w:t>
      </w:r>
      <w:r>
        <w:br/>
      </w:r>
      <w:r>
        <w:rPr>
          <w:rStyle w:val="NormalTok"/>
        </w:rPr>
        <w:t xml:space="preserve">  </w:t>
      </w:r>
      <w:r>
        <w:rPr>
          <w:rStyle w:val="DataTypeTok"/>
        </w:rPr>
        <w:t xml:space="preserve">skip_processing</w:t>
      </w:r>
      <w:r>
        <w:rPr>
          <w:rStyle w:val="NormalTok"/>
        </w:rPr>
        <w:t xml:space="preserve"> </w:t>
      </w:r>
      <w:r>
        <w:rPr>
          <w:rStyle w:val="OperatorTok"/>
        </w:rPr>
        <w:t xml:space="preserve">=</w:t>
      </w:r>
      <w:r>
        <w:rPr>
          <w:rStyle w:val="NormalTok"/>
        </w:rPr>
        <w:t xml:space="preserve"> </w:t>
      </w:r>
      <w:r>
        <w:rPr>
          <w:rStyle w:val="ConstantTok"/>
        </w:rPr>
        <w:t xml:space="preserve">true</w:t>
      </w:r>
    </w:p>
    <w:p>
      <w:pPr>
        <w:pStyle w:val="FirstParagraph"/>
      </w:pPr>
      <w:r>
        <w:t xml:space="preserve">The empty</w:t>
      </w:r>
      <w:r>
        <w:t xml:space="preserve"> </w:t>
      </w:r>
      <w:r>
        <w:rPr>
          <w:rStyle w:val="VerbatimChar"/>
        </w:rPr>
        <w:t xml:space="preserve">command</w:t>
      </w:r>
      <w:r>
        <w:t xml:space="preserve"> </w:t>
      </w:r>
      <w:r>
        <w:t xml:space="preserve">and</w:t>
      </w:r>
      <w:r>
        <w:t xml:space="preserve"> </w:t>
      </w:r>
      <w:r>
        <w:rPr>
          <w:rStyle w:val="VerbatimChar"/>
        </w:rPr>
        <w:t xml:space="preserve">skip_processing</w:t>
      </w:r>
      <w:r>
        <w:t xml:space="preserve"> </w:t>
      </w:r>
      <w:r>
        <w:t xml:space="preserve">mean the uploaded artifact is exactly what is served; the redirect supports hash-route navigation.</w:t>
      </w:r>
    </w:p>
    <w:bookmarkEnd w:id="43"/>
    <w:bookmarkStart w:id="44" w:name="f.4-quotation-verification-protocol"/>
    <w:p>
      <w:pPr>
        <w:pStyle w:val="Heading2"/>
      </w:pPr>
      <w:r>
        <w:t xml:space="preserve">F.4 Quotation verification protocol</w:t>
      </w:r>
    </w:p>
    <w:p>
      <w:pPr>
        <w:pStyle w:val="FirstParagraph"/>
      </w:pPr>
      <w:r>
        <w:t xml:space="preserve">Every Key Quotation is confirmed against the indexed opinion at Midpage, not the professor’s modernized PDF, before it enters the vault. Each pull-quote on the deployed page links to its Midpage line anchor so a reader lands on the cited line. The reproducible step is the switch from keyword search to Midpage</w:t>
      </w:r>
      <w:r>
        <w:t xml:space="preserve"> </w:t>
      </w:r>
      <w:r>
        <w:rPr>
          <w:rStyle w:val="VerbatimChar"/>
        </w:rPr>
        <w:t xml:space="preserve">findInOpinion</w:t>
      </w:r>
      <w:r>
        <w:t xml:space="preserve"> </w:t>
      </w:r>
      <w:r>
        <w:t xml:space="preserve">/</w:t>
      </w:r>
      <w:r>
        <w:t xml:space="preserve"> </w:t>
      </w:r>
      <w:r>
        <w:rPr>
          <w:rStyle w:val="VerbatimChar"/>
        </w:rPr>
        <w:t xml:space="preserve">analyzeOpinion</w:t>
      </w:r>
      <w:r>
        <w:t xml:space="preserve"> </w:t>
      </w:r>
      <w:r>
        <w:t xml:space="preserve">against the indexed text; the Prize Cases / Grier near-miss that motivates it is narrated in Section VII.</w:t>
      </w:r>
    </w:p>
    <w:bookmarkEnd w:id="44"/>
    <w:bookmarkStart w:id="45" w:name="f.5-cost-of-reproduction"/>
    <w:p>
      <w:pPr>
        <w:pStyle w:val="Heading2"/>
      </w:pPr>
      <w:r>
        <w:t xml:space="preserve">F.5 Cost of reproduction</w:t>
      </w:r>
    </w:p>
    <w:p>
      <w:pPr>
        <w:pStyle w:val="FirstParagraph"/>
      </w:pPr>
      <w:r>
        <w:t xml:space="preserve">Required: Obsidian (free), Git, a static host (Netlify’s free tier suffices), a paid Claude API or Claude Code subscription for the rotation, and a Midpage account for quote verification. Optional: PostHog (free tier) and a custom domain. The preferred deploy path consumes zero Netlify build minutes; the free-tier ceiling is bandwidth and file count, not build throughput, and when credits exhaust, deploys are blocked (HTTP 403) until a human restores them.</w:t>
      </w:r>
    </w:p>
    <w:bookmarkEnd w:id="45"/>
    <w:bookmarkStart w:id="46" w:name="f.6-forking-notes"/>
    <w:p>
      <w:pPr>
        <w:pStyle w:val="Heading2"/>
      </w:pPr>
      <w:r>
        <w:t xml:space="preserve">F.6 Forking notes</w:t>
      </w:r>
    </w:p>
    <w:p>
      <w:pPr>
        <w:pStyle w:val="FirstParagraph"/>
      </w:pPr>
      <w:r>
        <w:t xml:space="preserve">The vault is git-tracked at github.com/Achansx/law-school-tools. To adapt it: clone, edit</w:t>
      </w:r>
      <w:r>
        <w:t xml:space="preserve"> </w:t>
      </w:r>
      <w:r>
        <w:rPr>
          <w:rStyle w:val="VerbatimChar"/>
        </w:rPr>
        <w:t xml:space="preserve">PROJECT_PRIMER.md</w:t>
      </w:r>
      <w:r>
        <w:t xml:space="preserve"> </w:t>
      </w:r>
      <w:r>
        <w:t xml:space="preserve">for the new course, adapt the</w:t>
      </w:r>
      <w:r>
        <w:t xml:space="preserve"> </w:t>
      </w:r>
      <w:r>
        <w:rPr>
          <w:rStyle w:val="VerbatimChar"/>
        </w:rPr>
        <w:t xml:space="preserve">Templates/</w:t>
      </w:r>
      <w:r>
        <w:t xml:space="preserve"> </w:t>
      </w:r>
      <w:r>
        <w:t xml:space="preserve">schemas and</w:t>
      </w:r>
      <w:r>
        <w:t xml:space="preserve"> </w:t>
      </w:r>
      <w:r>
        <w:rPr>
          <w:rStyle w:val="VerbatimChar"/>
        </w:rPr>
        <w:t xml:space="preserve">rubric/</w:t>
      </w:r>
      <w:r>
        <w:t xml:space="preserve"> </w:t>
      </w:r>
      <w:r>
        <w:t xml:space="preserve">files, then start ingesting.</w:t>
      </w:r>
      <w:r>
        <w:t xml:space="preserve"> </w:t>
      </w:r>
      <w:r>
        <w:rPr>
          <w:rStyle w:val="VerbatimChar"/>
        </w:rPr>
        <w:t xml:space="preserve">Templates/</w:t>
      </w:r>
      <w:r>
        <w:t xml:space="preserve"> </w:t>
      </w:r>
      <w:r>
        <w:t xml:space="preserve">and</w:t>
      </w:r>
      <w:r>
        <w:t xml:space="preserve"> </w:t>
      </w:r>
      <w:r>
        <w:rPr>
          <w:rStyle w:val="VerbatimChar"/>
        </w:rPr>
        <w:t xml:space="preserve">rubric/</w:t>
      </w:r>
      <w:r>
        <w:t xml:space="preserve"> </w:t>
      </w:r>
      <w:r>
        <w:t xml:space="preserve">are the most reusable artifacts.</w:t>
      </w:r>
    </w:p>
    <w:bookmarkEnd w:id="46"/>
    <w:bookmarkStart w:id="47" w:name="intentionally-excluded"/>
    <w:p>
      <w:pPr>
        <w:pStyle w:val="Heading2"/>
      </w:pPr>
      <w:r>
        <w:t xml:space="preserve">Intentionally excluded</w:t>
      </w:r>
    </w:p>
    <w:p>
      <w:pPr>
        <w:pStyle w:val="FirstParagraph"/>
      </w:pPr>
      <w:r>
        <w:t xml:space="preserve">Not reproduced here: the full source of</w:t>
      </w:r>
      <w:r>
        <w:t xml:space="preserve"> </w:t>
      </w:r>
      <w:r>
        <w:rPr>
          <w:rStyle w:val="VerbatimChar"/>
        </w:rPr>
        <w:t xml:space="preserve">app.js</w:t>
      </w:r>
      <w:r>
        <w:t xml:space="preserve"> </w:t>
      </w:r>
      <w:r>
        <w:t xml:space="preserve">and</w:t>
      </w:r>
      <w:r>
        <w:t xml:space="preserve"> </w:t>
      </w:r>
      <w:r>
        <w:rPr>
          <w:rStyle w:val="VerbatimChar"/>
        </w:rPr>
        <w:t xml:space="preserve">style.css</w:t>
      </w:r>
      <w:r>
        <w:t xml:space="preserve">; the</w:t>
      </w:r>
      <w:r>
        <w:t xml:space="preserve"> </w:t>
      </w:r>
      <w:r>
        <w:rPr>
          <w:rStyle w:val="VerbatimChar"/>
        </w:rPr>
        <w:t xml:space="preserve">deploy.sh</w:t>
      </w:r>
      <w:r>
        <w:t xml:space="preserve"> </w:t>
      </w:r>
      <w:r>
        <w:t xml:space="preserve">and</w:t>
      </w:r>
      <w:r>
        <w:t xml:space="preserve"> </w:t>
      </w:r>
      <w:r>
        <w:rPr>
          <w:rStyle w:val="VerbatimChar"/>
        </w:rPr>
        <w:t xml:space="preserve">_headers</w:t>
      </w:r>
      <w:r>
        <w:t xml:space="preserve">/</w:t>
      </w:r>
      <w:r>
        <w:rPr>
          <w:rStyle w:val="VerbatimChar"/>
        </w:rPr>
        <w:t xml:space="preserve">_redirects</w:t>
      </w:r>
      <w:r>
        <w:t xml:space="preserve"> </w:t>
      </w:r>
      <w:r>
        <w:t xml:space="preserve">contents; the prompt and rubric text (Appendices B and D); and figures of the interface (Section III).</w:t>
      </w:r>
    </w:p>
    <w:p>
      <w:pPr>
        <w:pStyle w:val="BodyText"/>
      </w:pPr>
      <w:r>
        <w:t xml:space="preserve">Cross-reference: this appendix is referenced by Section VIII (Vault to Website) and Section III (Case Study).</w:t>
      </w:r>
    </w:p>
    <w:bookmarkEnd w:id="47"/>
    <w:bookmarkEnd w:id="4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Supporting Appendices A–F</dc:title>
  <dc:creator/>
  <cp:keywords/>
  <dcterms:created xsi:type="dcterms:W3CDTF">2026-05-31T04:29:02Z</dcterms:created>
  <dcterms:modified xsi:type="dcterms:W3CDTF">2026-05-31T04:29:02Z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May 30, 2026</vt:lpwstr>
  </property>
  <property fmtid="{D5CDD505-2E9C-101B-9397-08002B2CF9AE}" pid="3" name="subtitle">
    <vt:lpwstr>Companion exhibits to the course-knowledge-system article</vt:lpwstr>
  </property>
</Properties>
</file>