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Review Packet — Constitutional Law I Course-Knowledge-System Article</w:t>
      </w:r>
    </w:p>
    <w:p>
      <w:pPr>
        <w:pStyle w:val="Subtitle"/>
      </w:pPr>
      <w:r>
        <w:t xml:space="preserve">Start here</w:t>
      </w:r>
    </w:p>
    <w:p>
      <w:pPr>
        <w:pStyle w:val="Date"/>
      </w:pPr>
      <w:r>
        <w:t xml:space="preserve">May 30, 2026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Professor Chandler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A draft law-review article describing the Constitutional Law I course-knowledge system, with supporting materials —</w:t>
      </w:r>
      <w:r>
        <w:t xml:space="preserve"> </w:t>
      </w:r>
      <w:r>
        <w:rPr>
          <w:b/>
          <w:bCs/>
        </w:rPr>
        <w:t xml:space="preserve">for your review; this is not a submission.</w:t>
      </w:r>
      <w:r>
        <w:t xml:space="preserve"> </w:t>
      </w:r>
      <w:r>
        <w:rPr>
          <w:b/>
          <w:bCs/>
        </w:rPr>
        <w:t xml:space="preserve">Companion site:</w:t>
      </w:r>
      <w:r>
        <w:t xml:space="preserve"> </w:t>
      </w:r>
      <w:r>
        <w:t xml:space="preserve">https://constitutionallaw.netlify.app</w:t>
      </w:r>
    </w:p>
    <w:bookmarkStart w:id="9" w:name="what-this-packet-is"/>
    <w:p>
      <w:pPr>
        <w:pStyle w:val="Heading2"/>
      </w:pPr>
      <w:r>
        <w:t xml:space="preserve">What this packet is</w:t>
      </w:r>
    </w:p>
    <w:p>
      <w:pPr>
        <w:pStyle w:val="FirstParagraph"/>
      </w:pPr>
      <w:r>
        <w:t xml:space="preserve">A complete, citation-checked working draft of a method article for the</w:t>
      </w:r>
      <w:r>
        <w:t xml:space="preserve"> </w:t>
      </w:r>
      <w:r>
        <w:rPr>
          <w:i/>
          <w:iCs/>
        </w:rPr>
        <w:t xml:space="preserve">Journal of Legal Education</w:t>
      </w:r>
      <w:r>
        <w:t xml:space="preserve">, together with the supporting exhibits a reviewer would want. It describes how your Constitutional Law I archive was converted, under human-reviewed AI assistance, into a navigable, source-verified, student-facing course-knowledge system, and argues that the</w:t>
      </w:r>
      <w: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— not the constitutional-law content — is the transferable contribution. The Con Law build is the case study; the live site above is its public instance.</w:t>
      </w:r>
    </w:p>
    <w:bookmarkEnd w:id="9"/>
    <w:bookmarkStart w:id="10" w:name="whats-in-this-packet"/>
    <w:p>
      <w:pPr>
        <w:pStyle w:val="Heading2"/>
      </w:pPr>
      <w:r>
        <w:t xml:space="preserve">What’s in this packet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00-START-HERE</w:t>
            </w:r>
            <w:r>
              <w:t xml:space="preserve"> </w:t>
            </w:r>
            <w:r>
              <w:t xml:space="preserve">(this file)</w:t>
            </w:r>
          </w:p>
        </w:tc>
        <w:tc>
          <w:tcPr/>
          <w:p>
            <w:pPr>
              <w:pStyle w:val="Compact"/>
            </w:pPr>
            <w:r>
              <w:t xml:space="preserve">One-page orientation and the decisions I need from you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01-Article.docx</w:t>
            </w:r>
          </w:p>
        </w:tc>
        <w:tc>
          <w:tcPr/>
          <w:p>
            <w:pPr>
              <w:pStyle w:val="Compact"/>
            </w:pPr>
            <w:r>
              <w:t xml:space="preserve">The full article — ~14,100 words, 14 sections, real footnotes (Bluebook 21st)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02-Reviewer-Memo.docx</w:t>
            </w:r>
          </w:p>
        </w:tc>
        <w:tc>
          <w:tcPr/>
          <w:p>
            <w:pPr>
              <w:pStyle w:val="Compact"/>
            </w:pPr>
            <w:r>
              <w:t xml:space="preserve">The detailed hand-off: status, what was checked, every open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03-Appendices.docx</w:t>
            </w:r>
          </w:p>
        </w:tc>
        <w:tc>
          <w:tcPr/>
          <w:p>
            <w:pPr>
              <w:pStyle w:val="Compact"/>
            </w:pPr>
            <w:r>
              <w:t xml:space="preserve">Supporting exhibits A–F (input inventory, AI tooling, templates, rubric, cost log, technical setup)</w:t>
            </w:r>
          </w:p>
        </w:tc>
      </w:tr>
    </w:tbl>
    <w:p>
      <w:pPr>
        <w:pStyle w:val="BodyText"/>
      </w:pPr>
      <w:r>
        <w:rPr>
          <w:b/>
          <w:bCs/>
        </w:rPr>
        <w:t xml:space="preserve">Suggested order:</w:t>
      </w:r>
      <w:r>
        <w:t xml:space="preserve"> </w:t>
      </w:r>
      <w:r>
        <w:t xml:space="preserve">skim this page, read the Reviewer-Memo (§§1–4), then the Article. The Appendices are reference exhibits — dip in as needed.</w:t>
      </w:r>
    </w:p>
    <w:bookmarkEnd w:id="10"/>
    <w:bookmarkStart w:id="11" w:name="what-im-asking-of-you"/>
    <w:p>
      <w:pPr>
        <w:pStyle w:val="Heading2"/>
      </w:pPr>
      <w:r>
        <w:t xml:space="preserve">What I’m asking of you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for substance and voice</w:t>
      </w:r>
      <w:r>
        <w:t xml:space="preserve"> </w:t>
      </w:r>
      <w:r>
        <w:t xml:space="preserve">— does the argument land, and does it sound like something you’d put your name to?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Make the four calls only you can make</w:t>
      </w:r>
      <w:r>
        <w:t xml:space="preserve"> </w:t>
      </w:r>
      <w:r>
        <w:t xml:space="preserve">(the system deliberately did not answer these):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Casebook ingestion</w:t>
      </w:r>
      <w:r>
        <w:t xml:space="preserve"> </w:t>
      </w:r>
      <w:r>
        <w:t xml:space="preserve">— were casebook excerpts ingested into the corpus?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Student-work ingestion</w:t>
      </w:r>
      <w:r>
        <w:t xml:space="preserve"> </w:t>
      </w:r>
      <w:r>
        <w:t xml:space="preserve">— was any student work ingested? (affects the §XII.D privacy framing)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Review coverage</w:t>
      </w:r>
      <w:r>
        <w:t xml:space="preserve"> </w:t>
      </w:r>
      <w:r>
        <w:t xml:space="preserve">— were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the 198 snapshot-date pages professor-reviewed before they went live? (the</w:t>
      </w:r>
      <w:r>
        <w:t xml:space="preserve"> </w:t>
      </w:r>
      <w:r>
        <w:t xml:space="preserve">“reviewed static site”</w:t>
      </w:r>
      <w:r>
        <w:t xml:space="preserve"> </w:t>
      </w:r>
      <w:r>
        <w:t xml:space="preserve">claim rests on this)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Second instance (§X.E)</w:t>
      </w:r>
      <w:r>
        <w:t xml:space="preserve"> </w:t>
      </w:r>
      <w:r>
        <w:t xml:space="preserve">— if you have a course in mind for a second build (Torts? Contracts?), naming it strengthens the article’s invitation.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 the page-proof items</w:t>
      </w:r>
      <w:r>
        <w:t xml:space="preserve"> </w:t>
      </w:r>
      <w:r>
        <w:t xml:space="preserve">flagged in Reviewer-Memo §4.2 (a few edited-volume page pins, and one cited study that PNAS later corrected).</w:t>
      </w:r>
    </w:p>
    <w:bookmarkEnd w:id="11"/>
    <w:bookmarkStart w:id="12" w:name="status-in-one-line"/>
    <w:p>
      <w:pPr>
        <w:pStyle w:val="Heading2"/>
      </w:pPr>
      <w:r>
        <w:t xml:space="preserve">Status in one line</w:t>
      </w:r>
    </w:p>
    <w:p>
      <w:pPr>
        <w:pStyle w:val="FirstParagraph"/>
      </w:pPr>
      <w:r>
        <w:t xml:space="preserve">Constitutional-law doctrine independently audited clean (0 stale holdings); citations checked for both liveness and actual support; the literature is anchored in the legal-education canon, not just AI/CS sources; ~14,100 words; 190 contiguous footnotes; figures still need format conversion before any submission.</w:t>
      </w:r>
    </w:p>
    <w:bookmarkEnd w:id="12"/>
    <w:bookmarkStart w:id="13" w:name="X393ad669da788a3b338b958fba7356fa3ed974a"/>
    <w:p>
      <w:pPr>
        <w:pStyle w:val="Heading2"/>
      </w:pPr>
      <w:r>
        <w:t xml:space="preserve">A couple of things you’ll notice (and that are expected)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Repeat citations show the full footnote twice.</w:t>
      </w:r>
      <w:r>
        <w:t xml:space="preserve"> </w:t>
      </w:r>
      <w:r>
        <w:t xml:space="preserve">A handful of sources cited at several points (e.g., Choi &amp; Schwarcz) currently repeat the full citation rather than using the Bluebook</w:t>
      </w:r>
      <w:r>
        <w:t xml:space="preserve"> </w:t>
      </w:r>
      <w:r>
        <w:rPr>
          <w:i/>
          <w:iCs/>
        </w:rPr>
        <w:t xml:space="preserve">supra</w:t>
      </w:r>
      <w:r>
        <w:t xml:space="preserve"> </w:t>
      </w:r>
      <w:r>
        <w:t xml:space="preserve">short-form. The citations themselves are correct; the short-form pass is a copy-edit/production step, not a substantive fix.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Figures are described, not embedded.</w:t>
      </w:r>
      <w:r>
        <w:t xml:space="preserve"> </w:t>
      </w:r>
      <w:r>
        <w:t xml:space="preserve">The article references figures that still need conversion to JLE’s format (≥300 dpi, separate files) before any submission.</w:t>
      </w:r>
    </w:p>
    <w:bookmarkEnd w:id="13"/>
    <w:bookmarkStart w:id="14" w:name="important"/>
    <w:p>
      <w:pPr>
        <w:pStyle w:val="Heading2"/>
      </w:pPr>
      <w:r>
        <w:t xml:space="preserve">Important</w:t>
      </w:r>
    </w:p>
    <w:p>
      <w:pPr>
        <w:pStyle w:val="FirstParagraph"/>
      </w:pPr>
      <w:r>
        <w:rPr>
          <w:b/>
          <w:bCs/>
        </w:rPr>
        <w:t xml:space="preserve">The system did not submit this article to the Journal of Legal Education, and it did not email you.</w:t>
      </w:r>
      <w:r>
        <w:t xml:space="preserve"> </w:t>
      </w:r>
      <w:r>
        <w:t xml:space="preserve">Submitting and contacting you are decisions reserved for you and the author. This packet is for your review only.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Packet — Constitutional Law I Course-Knowledge-System Article</dc:title>
  <dc:creator/>
  <cp:keywords/>
  <dcterms:created xsi:type="dcterms:W3CDTF">2026-05-30T23:52:11Z</dcterms:created>
  <dcterms:modified xsi:type="dcterms:W3CDTF">2026-05-30T23:52:11Z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30, 2026</vt:lpwstr>
  </property>
  <property fmtid="{D5CDD505-2E9C-101B-9397-08002B2CF9AE}" pid="3" name="subtitle">
    <vt:lpwstr>Start here</vt:lpwstr>
  </property>
</Properties>
</file>