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ab04ff8563293db2348c0fabe3e700086908c35"/>
    <w:p>
      <w:pPr>
        <w:pStyle w:val="Heading1"/>
      </w:pPr>
      <w:r>
        <w:t xml:space="preserve">Constitutional Law I Knowledge-System Article — Hand-off for Review</w:t>
      </w:r>
    </w:p>
    <w:p>
      <w:pPr>
        <w:pStyle w:val="FirstParagraph"/>
      </w:pPr>
      <w:r>
        <w:rPr>
          <w:b/>
          <w:bCs/>
        </w:rPr>
        <w:t xml:space="preserve">To:</w:t>
      </w:r>
      <w:r>
        <w:t xml:space="preserve"> </w:t>
      </w:r>
      <w:r>
        <w:t xml:space="preserve">Professor Chandler</w:t>
      </w:r>
      <w:r>
        <w:t xml:space="preserve"> </w:t>
      </w:r>
      <w:r>
        <w:rPr>
          <w:b/>
          <w:bCs/>
        </w:rPr>
        <w:t xml:space="preserve">Re:</w:t>
      </w:r>
      <w:r>
        <w:t xml:space="preserve"> </w:t>
      </w:r>
      <w:r>
        <w:t xml:space="preserve">Draft law-review article (for the</w:t>
      </w:r>
      <w:r>
        <w:t xml:space="preserve"> </w:t>
      </w:r>
      <w:r>
        <w:rPr>
          <w:i/>
          <w:iCs/>
        </w:rPr>
        <w:t xml:space="preserve">Journal of Legal Education</w:t>
      </w:r>
      <w:r>
        <w:t xml:space="preserve">) describing the Constitutional Law I course-knowledge system —</w:t>
      </w:r>
      <w:r>
        <w:t xml:space="preserve"> </w:t>
      </w:r>
      <w:r>
        <w:rPr>
          <w:b/>
          <w:bCs/>
        </w:rPr>
        <w:t xml:space="preserve">draft for your review, not a submission</w:t>
      </w:r>
      <w:r>
        <w:t xml:space="preserve"> </w:t>
      </w:r>
      <w:r>
        <w:rPr>
          <w:b/>
          <w:bCs/>
        </w:rPr>
        <w:t xml:space="preserve">Date:</w:t>
      </w:r>
      <w:r>
        <w:t xml:space="preserve"> </w:t>
      </w:r>
      <w:r>
        <w:t xml:space="preserve">May 30, 2026</w:t>
      </w:r>
      <w:r>
        <w:t xml:space="preserve"> </w:t>
      </w:r>
      <w:r>
        <w:rPr>
          <w:b/>
          <w:bCs/>
        </w:rPr>
        <w:t xml:space="preserve">Companion site:</w:t>
      </w:r>
      <w:r>
        <w:t xml:space="preserve"> </w:t>
      </w:r>
      <w:r>
        <w:t xml:space="preserve">https://constitutionallaw.netlify.app</w:t>
      </w:r>
      <w:r>
        <w:t xml:space="preserve"> </w:t>
      </w:r>
      <w:r>
        <w:rPr>
          <w:b/>
          <w:bCs/>
        </w:rPr>
        <w:t xml:space="preserve">Frozen draft:</w:t>
      </w:r>
      <w:r>
        <w:t xml:space="preserve"> </w:t>
      </w:r>
      <w:r>
        <w:rPr>
          <w:rStyle w:val="VerbatimChar"/>
        </w:rPr>
        <w:t xml:space="preserve">Article/manuscript/HANDOFF-2026-05-30.md</w:t>
      </w:r>
      <w:r>
        <w:t xml:space="preserve"> </w:t>
      </w:r>
      <w:r>
        <w:rPr>
          <w:b/>
          <w:bCs/>
        </w:rPr>
        <w:t xml:space="preserve">Clean submission copy (frontmatter stripped):</w:t>
      </w:r>
      <w:r>
        <w:t xml:space="preserve"> </w:t>
      </w:r>
      <w:r>
        <w:rPr>
          <w:rStyle w:val="VerbatimChar"/>
        </w:rPr>
        <w:t xml:space="preserve">Article/manuscript/SUBMISSION-2026-05-30.md</w:t>
      </w:r>
    </w:p>
    <w:p>
      <w:r>
        <w:pict>
          <v:rect style="width:0;height:1.5pt" o:hralign="center" o:hrstd="t" o:hr="t"/>
        </w:pict>
      </w:r>
    </w:p>
    <w:bookmarkStart w:id="9" w:name="what-this-is"/>
    <w:p>
      <w:pPr>
        <w:pStyle w:val="Heading2"/>
      </w:pPr>
      <w:r>
        <w:t xml:space="preserve">1. What this is</w:t>
      </w:r>
    </w:p>
    <w:p>
      <w:pPr>
        <w:pStyle w:val="FirstParagraph"/>
      </w:pPr>
      <w:r>
        <w:t xml:space="preserve">A complete working draft of a method article for the</w:t>
      </w:r>
      <w:r>
        <w:t xml:space="preserve"> </w:t>
      </w:r>
      <w:r>
        <w:rPr>
          <w:i/>
          <w:iCs/>
        </w:rPr>
        <w:t xml:space="preserve">Journal of Legal Education</w:t>
      </w:r>
      <w:r>
        <w:t xml:space="preserve">. It describes how your Constitutional Law I course archive was converted, under human-reviewed AI assistance, into a navigable, source-verified, student-facing course-knowledge system, and argues that the</w:t>
      </w:r>
      <w:r>
        <w:t xml:space="preserve"> </w:t>
      </w:r>
      <w:r>
        <w:rPr>
          <w:b/>
          <w:bCs/>
        </w:rPr>
        <w:t xml:space="preserve">method</w:t>
      </w:r>
      <w:r>
        <w:t xml:space="preserve"> </w:t>
      </w:r>
      <w:r>
        <w:t xml:space="preserve">(not the constitutional-law artifact) is the transferable contribution. The constitutional-law build is the case study; the deployed site above is its public instance.</w:t>
      </w:r>
    </w:p>
    <w:bookmarkEnd w:id="9"/>
    <w:bookmarkStart w:id="10" w:name="status-at-hand-off"/>
    <w:p>
      <w:pPr>
        <w:pStyle w:val="Heading2"/>
      </w:pPr>
      <w:r>
        <w:t xml:space="preserve">2. Status at hand-off</w:t>
      </w:r>
    </w:p>
    <w:p>
      <w:pPr>
        <w:pStyle w:val="Compact"/>
        <w:numPr>
          <w:ilvl w:val="0"/>
          <w:numId w:val="1001"/>
        </w:numPr>
      </w:pPr>
      <w:r>
        <w:t xml:space="preserve">Title (trimmed this round):</w:t>
      </w:r>
      <w:r>
        <w:t xml:space="preserve"> </w:t>
      </w:r>
      <w:r>
        <w:rPr>
          <w:b/>
          <w:bCs/>
        </w:rPr>
        <w:t xml:space="preserve">“From Casebook to Course Knowledge System: AI-Assisted Synthesis and Obsidian.”</w:t>
      </w:r>
    </w:p>
    <w:p>
      <w:pPr>
        <w:pStyle w:val="Compact"/>
        <w:numPr>
          <w:ilvl w:val="0"/>
          <w:numId w:val="1001"/>
        </w:numPr>
      </w:pPr>
      <w:r>
        <w:rPr>
          <w:b/>
          <w:bCs/>
        </w:rPr>
        <w:t xml:space="preserve">~14,104 words</w:t>
      </w:r>
      <w:r>
        <w:t xml:space="preserve">, 14 sections (I–XIV) plus abstract and appendices.</w:t>
      </w:r>
    </w:p>
    <w:p>
      <w:pPr>
        <w:pStyle w:val="Compact"/>
        <w:numPr>
          <w:ilvl w:val="0"/>
          <w:numId w:val="1001"/>
        </w:numPr>
      </w:pPr>
      <w:r>
        <w:rPr>
          <w:b/>
          <w:bCs/>
        </w:rPr>
        <w:t xml:space="preserve">190 footnotes</w:t>
      </w:r>
      <w:r>
        <w:t xml:space="preserve">, contiguous and integrity-checked (no gaps, duplicates, or orphans); Bluebook 21st form; external URLs verified live.</w:t>
      </w:r>
    </w:p>
    <w:p>
      <w:pPr>
        <w:pStyle w:val="Compact"/>
        <w:numPr>
          <w:ilvl w:val="0"/>
          <w:numId w:val="1001"/>
        </w:numPr>
      </w:pPr>
      <w:r>
        <w:t xml:space="preserve">Assembled draft:</w:t>
      </w:r>
      <w:r>
        <w:t xml:space="preserve"> </w:t>
      </w:r>
      <w:r>
        <w:rPr>
          <w:rStyle w:val="VerbatimChar"/>
        </w:rPr>
        <w:t xml:space="preserve">Article/manuscript/full-draft.md</w:t>
      </w:r>
      <w:r>
        <w:t xml:space="preserve">. Frozen copy:</w:t>
      </w:r>
      <w:r>
        <w:t xml:space="preserve"> </w:t>
      </w:r>
      <w:r>
        <w:rPr>
          <w:rStyle w:val="VerbatimChar"/>
        </w:rPr>
        <w:t xml:space="preserve">Article/manuscript/HANDOFF-2026-05-30.md</w:t>
      </w:r>
      <w:r>
        <w:t xml:space="preserve">. A</w:t>
      </w:r>
      <w:r>
        <w:t xml:space="preserve"> </w:t>
      </w:r>
      <w:r>
        <w:rPr>
          <w:b/>
          <w:bCs/>
        </w:rPr>
        <w:t xml:space="preserve">clean submission copy with the working build-metadata frontmatter stripped</w:t>
      </w:r>
      <w:r>
        <w:t xml:space="preserve"> </w:t>
      </w:r>
      <w:r>
        <w:t xml:space="preserve">is at</w:t>
      </w:r>
      <w:r>
        <w:t xml:space="preserve"> </w:t>
      </w:r>
      <w:r>
        <w:rPr>
          <w:rStyle w:val="VerbatimChar"/>
        </w:rPr>
        <w:t xml:space="preserve">Article/manuscript/SUBMISSION-2026-05-30.md</w:t>
      </w:r>
      <w:r>
        <w:t xml:space="preserve">.</w:t>
      </w:r>
    </w:p>
    <w:p>
      <w:pPr>
        <w:pStyle w:val="Compact"/>
        <w:numPr>
          <w:ilvl w:val="0"/>
          <w:numId w:val="1001"/>
        </w:numPr>
      </w:pPr>
      <w:r>
        <w:t xml:space="preserve">This is a</w:t>
      </w:r>
      <w:r>
        <w:t xml:space="preserve"> </w:t>
      </w:r>
      <w:r>
        <w:rPr>
          <w:b/>
          <w:bCs/>
        </w:rPr>
        <w:t xml:space="preserve">coherent, reviewable full draft</w:t>
      </w:r>
      <w:r>
        <w:t xml:space="preserve"> </w:t>
      </w:r>
      <w:r>
        <w:t xml:space="preserve">— not yet a finalized submission (open items in §4).</w:t>
      </w:r>
    </w:p>
    <w:bookmarkEnd w:id="10"/>
    <w:bookmarkStart w:id="11" w:name="what-has-been-done-and-checked"/>
    <w:p>
      <w:pPr>
        <w:pStyle w:val="Heading2"/>
      </w:pPr>
      <w:r>
        <w:t xml:space="preserve">3. What has been done and checked</w:t>
      </w:r>
    </w:p>
    <w:p>
      <w:pPr>
        <w:pStyle w:val="Compact"/>
        <w:numPr>
          <w:ilvl w:val="0"/>
          <w:numId w:val="1002"/>
        </w:numPr>
      </w:pPr>
      <w:r>
        <w:rPr>
          <w:b/>
          <w:bCs/>
        </w:rPr>
        <w:t xml:space="preserve">Constitutional-law accuracy audited clean.</w:t>
      </w:r>
      <w:r>
        <w:t xml:space="preserve"> </w:t>
      </w:r>
      <w:r>
        <w:t xml:space="preserve">An independent pass over every doctrinal/citation use found 0 stale holdings. The Commerce Clause arc (Gibbons→</w:t>
      </w:r>
      <w:r>
        <w:rPr>
          <w:i/>
          <w:iCs/>
        </w:rPr>
        <w:t xml:space="preserve">NFIB</w:t>
      </w:r>
      <w:r>
        <w:t xml:space="preserve">, with</w:t>
      </w:r>
      <w:r>
        <w:t xml:space="preserve"> </w:t>
      </w:r>
      <w:r>
        <w:rPr>
          <w:i/>
          <w:iCs/>
        </w:rPr>
        <w:t xml:space="preserve">Lopez/Morrison/Raich</w:t>
      </w:r>
      <w:r>
        <w:t xml:space="preserve">), the verbatim Roberts</w:t>
      </w:r>
      <w:r>
        <w:t xml:space="preserve"> </w:t>
      </w:r>
      <w:r>
        <w:rPr>
          <w:i/>
          <w:iCs/>
        </w:rPr>
        <w:t xml:space="preserve">NFIB</w:t>
      </w:r>
      <w:r>
        <w:t xml:space="preserve"> </w:t>
      </w:r>
      <w:r>
        <w:t xml:space="preserve">quotation,</w:t>
      </w:r>
      <w:r>
        <w:t xml:space="preserve"> </w:t>
      </w:r>
      <w:r>
        <w:rPr>
          <w:i/>
          <w:iCs/>
        </w:rPr>
        <w:t xml:space="preserve">Trump v. United States</w:t>
      </w:r>
      <w:r>
        <w:t xml:space="preserve"> </w:t>
      </w:r>
      <w:r>
        <w:t xml:space="preserve">(2024),</w:t>
      </w:r>
      <w:r>
        <w:t xml:space="preserve"> </w:t>
      </w:r>
      <w:r>
        <w:rPr>
          <w:i/>
          <w:iCs/>
        </w:rPr>
        <w:t xml:space="preserve">Rahimi</w:t>
      </w:r>
      <w:r>
        <w:t xml:space="preserve"> </w:t>
      </w:r>
      <w:r>
        <w:t xml:space="preserve">(2024), and the</w:t>
      </w:r>
      <w:r>
        <w:t xml:space="preserve"> </w:t>
      </w:r>
      <w:r>
        <w:rPr>
          <w:i/>
          <w:iCs/>
        </w:rPr>
        <w:t xml:space="preserve">Prize Cases</w:t>
      </w:r>
      <w:r>
        <w:t xml:space="preserve"> </w:t>
      </w:r>
      <w:r>
        <w:t xml:space="preserve">(showcased as a corrected-error example) all verify as current law. No post-</w:t>
      </w:r>
      <w:r>
        <w:rPr>
          <w:i/>
          <w:iCs/>
        </w:rPr>
        <w:t xml:space="preserve">SFFA</w:t>
      </w:r>
      <w:r>
        <w:t xml:space="preserve">/</w:t>
      </w:r>
      <w:r>
        <w:rPr>
          <w:i/>
          <w:iCs/>
        </w:rPr>
        <w:t xml:space="preserve">Loper Bright</w:t>
      </w:r>
      <w:r>
        <w:t xml:space="preserve"> </w:t>
      </w:r>
      <w:r>
        <w:t xml:space="preserve">exposure — those doctrines are not asserted as current law in the prose.</w:t>
      </w:r>
    </w:p>
    <w:p>
      <w:pPr>
        <w:pStyle w:val="Compact"/>
        <w:numPr>
          <w:ilvl w:val="0"/>
          <w:numId w:val="1002"/>
        </w:numPr>
      </w:pPr>
      <w:r>
        <w:rPr>
          <w:b/>
          <w:bCs/>
        </w:rPr>
        <w:t xml:space="preserve">Counts are framed as a dated snapshot, not as current figures.</w:t>
      </w:r>
      <w:r>
        <w:t xml:space="preserve"> </w:t>
      </w:r>
      <w:r>
        <w:t xml:space="preserve">The 198-page / 92-brief / 27-topic / 79-lecture numbers appear under a</w:t>
      </w:r>
      <w:r>
        <w:t xml:space="preserve"> </w:t>
      </w:r>
      <w:r>
        <w:t xml:space="preserve">“Snapshot and disclosure”</w:t>
      </w:r>
      <w:r>
        <w:t xml:space="preserve"> </w:t>
      </w:r>
      <w:r>
        <w:t xml:space="preserve">subsection and are reconciled against a later filesystem audit in §IV, so the page-count drift is disclosed rather than hidden.</w:t>
      </w:r>
    </w:p>
    <w:p>
      <w:pPr>
        <w:pStyle w:val="Compact"/>
        <w:numPr>
          <w:ilvl w:val="0"/>
          <w:numId w:val="1002"/>
        </w:numPr>
      </w:pPr>
      <w:r>
        <w:rPr>
          <w:b/>
          <w:bCs/>
        </w:rPr>
        <w:t xml:space="preserve">Internal build-process language removed from the prose.</w:t>
      </w:r>
      <w:r>
        <w:t xml:space="preserve"> </w:t>
      </w:r>
      <w:r>
        <w:t xml:space="preserve">References to the project’s own workplan, lessons file, and internal issue identifiers have been evicted from the published text (they do not belong in a law-review article); a body scan shows zero remaining.</w:t>
      </w:r>
    </w:p>
    <w:p>
      <w:pPr>
        <w:pStyle w:val="Compact"/>
        <w:numPr>
          <w:ilvl w:val="0"/>
          <w:numId w:val="1002"/>
        </w:numPr>
      </w:pPr>
      <w:r>
        <w:rPr>
          <w:b/>
          <w:bCs/>
        </w:rPr>
        <w:t xml:space="preserve">Venue fit strengthened — and now fully anchored.</w:t>
      </w:r>
      <w:r>
        <w:t xml:space="preserve"> </w:t>
      </w:r>
      <w:r>
        <w:t xml:space="preserve">The article engages the legal-education canon (Carnegie Report;</w:t>
      </w:r>
      <w:r>
        <w:t xml:space="preserve"> </w:t>
      </w:r>
      <w:r>
        <w:rPr>
          <w:i/>
          <w:iCs/>
        </w:rPr>
        <w:t xml:space="preserve">Best Practices for Legal Education</w:t>
      </w:r>
      <w:r>
        <w:t xml:space="preserve">;</w:t>
      </w:r>
      <w:r>
        <w:t xml:space="preserve"> </w:t>
      </w:r>
      <w:r>
        <w:rPr>
          <w:i/>
          <w:iCs/>
        </w:rPr>
        <w:t xml:space="preserve">Building on Best Practices</w:t>
      </w:r>
      <w:r>
        <w:t xml:space="preserve">; Sturm &amp; Guinier; ABA Standards 207/315/405; the JLE AI scholarship incl. Choi &amp; Schwarcz; Bond’s meta-review) rather than leaning only on AI/CS sources, and it carries a</w:t>
      </w:r>
      <w:r>
        <w:t xml:space="preserve"> </w:t>
      </w:r>
      <w:r>
        <w:rPr>
          <w:b/>
          <w:bCs/>
        </w:rPr>
        <w:t xml:space="preserve">related-work passage (§II.F)</w:t>
      </w:r>
      <w:r>
        <w:t xml:space="preserve"> </w:t>
      </w:r>
      <w:r>
        <w:t xml:space="preserve">distinguishing the system from commercial study aids (Quimbee/CrunchTime/Oyez/Studicata), open casebooks (H2O/eLangdell), live AI tutors, and the</w:t>
      </w:r>
      <w:r>
        <w:t xml:space="preserve"> </w:t>
      </w:r>
      <w:r>
        <w:t xml:space="preserve">“digital garden”</w:t>
      </w:r>
      <w:r>
        <w:t xml:space="preserve"> </w:t>
      </w:r>
      <w:r>
        <w:t xml:space="preserve">note-publishing form. Every load-bearing pedagogy/framing section (I, II, X, XI, XII, XIII) now carries a legal-ed-canon anchor with</w:t>
      </w:r>
      <w:r>
        <w:t xml:space="preserve"> </w:t>
      </w:r>
      <w:r>
        <w:rPr>
          <w:b/>
          <w:bCs/>
        </w:rPr>
        <w:t xml:space="preserve">per-source page pin-cites</w:t>
      </w:r>
      <w:r>
        <w:t xml:space="preserve">, not bare string-cites.</w:t>
      </w:r>
    </w:p>
    <w:p>
      <w:pPr>
        <w:pStyle w:val="Compact"/>
        <w:numPr>
          <w:ilvl w:val="0"/>
          <w:numId w:val="1002"/>
        </w:numPr>
      </w:pPr>
      <w:r>
        <w:rPr>
          <w:b/>
          <w:bCs/>
        </w:rPr>
        <w:t xml:space="preserve">Secondary-source citations were audited for support, not just liveness.</w:t>
      </w:r>
      <w:r>
        <w:t xml:space="preserve"> </w:t>
      </w:r>
      <w:r>
        <w:t xml:space="preserve">A dedicated pass gathered the actual source documents (open PDFs only — no paywalled or pirated copies) and checked that each secondary work</w:t>
      </w:r>
      <w:r>
        <w:t xml:space="preserve"> </w:t>
      </w:r>
      <w:r>
        <w:rPr>
          <w:i/>
          <w:iCs/>
        </w:rPr>
        <w:t xml:space="preserve">says what the draft cites it for</w:t>
      </w:r>
      <w:r>
        <w:t xml:space="preserve">. All 18 secondary works came back</w:t>
      </w:r>
      <w:r>
        <w:t xml:space="preserve"> </w:t>
      </w:r>
      <w:r>
        <w:rPr>
          <w:b/>
          <w:bCs/>
        </w:rPr>
        <w:t xml:space="preserve">SUPPORTED</w:t>
      </w:r>
      <w:r>
        <w:t xml:space="preserve">; the evidence record is in</w:t>
      </w:r>
      <w:r>
        <w:t xml:space="preserve"> </w:t>
      </w:r>
      <w:r>
        <w:rPr>
          <w:rStyle w:val="VerbatimChar"/>
        </w:rPr>
        <w:t xml:space="preserve">Article/research/secondary-source-citation-support-audit.md</w:t>
      </w:r>
      <w:r>
        <w:t xml:space="preserve"> </w:t>
      </w:r>
      <w:r>
        <w:t xml:space="preserve">(copyright-safe, quotes ≤15 words). A handful of exact page numbers in edited-volume chapters could not be machine-verified and are flagged inline as</w:t>
      </w:r>
      <w:r>
        <w:t xml:space="preserve"> </w:t>
      </w:r>
      <w:r>
        <w:rPr>
          <w:rStyle w:val="VerbatimChar"/>
        </w:rPr>
        <w:t xml:space="preserve">[confirm-at-proof: …]</w:t>
      </w:r>
      <w:r>
        <w:t xml:space="preserve"> </w:t>
      </w:r>
      <w:r>
        <w:t xml:space="preserve">rather than guessed.</w:t>
      </w:r>
    </w:p>
    <w:p>
      <w:pPr>
        <w:pStyle w:val="Compact"/>
        <w:numPr>
          <w:ilvl w:val="0"/>
          <w:numId w:val="1002"/>
        </w:numPr>
      </w:pPr>
      <w:r>
        <w:rPr>
          <w:b/>
          <w:bCs/>
        </w:rPr>
        <w:t xml:space="preserve">A full editorial-review pass was run and addressed</w:t>
      </w:r>
      <w:r>
        <w:t xml:space="preserve"> </w:t>
      </w:r>
      <w:r>
        <w:t xml:space="preserve">(the review is saved at</w:t>
      </w:r>
      <w:r>
        <w:t xml:space="preserve"> </w:t>
      </w:r>
      <w:r>
        <w:rPr>
          <w:rStyle w:val="VerbatimChar"/>
        </w:rPr>
        <w:t xml:space="preserve">Article/research/editorial-review-run315-2026-05-30.md</w:t>
      </w:r>
      <w:r>
        <w:t xml:space="preserve">). Closed this round: the title was trimmed;</w:t>
      </w:r>
      <w:r>
        <w:t xml:space="preserve"> </w:t>
      </w:r>
      <w:r>
        <w:rPr>
          <w:b/>
          <w:bCs/>
        </w:rPr>
        <w:t xml:space="preserve">all appendix cross-references were reconciled</w:t>
      </w:r>
      <w:r>
        <w:t xml:space="preserve"> </w:t>
      </w:r>
      <w:r>
        <w:t xml:space="preserve">against the actual appendix files (the broken</w:t>
      </w:r>
      <w:r>
        <w:t xml:space="preserve"> </w:t>
      </w:r>
      <w:r>
        <w:t xml:space="preserve">“App. D — Correspondence/Iteration Excerpts”</w:t>
      </w:r>
      <w:r>
        <w:t xml:space="preserve"> </w:t>
      </w:r>
      <w:r>
        <w:t xml:space="preserve">pointers — internal-record material that does not belong in a published article — were removed, not built, and the cost-table pointer was re-lettered to its real appendix); the three remaining</w:t>
      </w:r>
      <w:r>
        <w:t xml:space="preserve"> </w:t>
      </w:r>
      <w:r>
        <w:t xml:space="preserve">“internal pending-issue tracker”</w:t>
      </w:r>
      <w:r>
        <w:t xml:space="preserve"> </w:t>
      </w:r>
      <w:r>
        <w:t xml:space="preserve">footnote citations were removed; a</w:t>
      </w:r>
      <w:r>
        <w:t xml:space="preserve"> </w:t>
      </w:r>
      <w:r>
        <w:rPr>
          <w:b/>
          <w:bCs/>
        </w:rPr>
        <w:t xml:space="preserve">§IX cost-and-labor table (Table 9.1)</w:t>
      </w:r>
      <w:r>
        <w:t xml:space="preserve"> </w:t>
      </w:r>
      <w:r>
        <w:t xml:space="preserve">was assembled from the build’s own cost log (its cells verified exact against the log; dollar and person-hour columns are honestly marked as out of scope rather than estimated); a learning-sciences</w:t>
      </w:r>
      <w:r>
        <w:t xml:space="preserve"> </w:t>
      </w:r>
      <w:r>
        <w:rPr>
          <w:b/>
          <w:bCs/>
        </w:rPr>
        <w:t xml:space="preserve">overreliance citation</w:t>
      </w:r>
      <w:r>
        <w:t xml:space="preserve"> </w:t>
      </w:r>
      <w:r>
        <w:t xml:space="preserve">was added at §XII.B (Vasconcelos 2023; Bastani et al., PNAS 2025); a §XIV.C sentence now states what a colleague attempting a second instance would be given; the Boyer scholarship-of-teaching typology got a half-sentence of unpacking; and two over-long sentences (§IV.A, §V.B) were split. (The earlier review you may have seen was run against a stale local copy and flagged duplicate footnotes — that defect was already fixed; this pass worked against the current draft.)</w:t>
      </w:r>
    </w:p>
    <w:bookmarkEnd w:id="11"/>
    <w:bookmarkStart w:id="12" w:name="Xc2193ab49a85b3a36411d0699fbda76259baf5b"/>
    <w:p>
      <w:pPr>
        <w:pStyle w:val="Heading2"/>
      </w:pPr>
      <w:r>
        <w:t xml:space="preserve">4. Open items before any submission (honest list)</w:t>
      </w:r>
    </w:p>
    <w:p>
      <w:pPr>
        <w:pStyle w:val="Compact"/>
        <w:numPr>
          <w:ilvl w:val="0"/>
          <w:numId w:val="1003"/>
        </w:numPr>
      </w:pPr>
      <w:r>
        <w:rPr>
          <w:b/>
          <w:bCs/>
        </w:rPr>
        <w:t xml:space="preserve">Decisions only you can make — the loop deliberately did not answer these.</w:t>
      </w:r>
      <w:r>
        <w:t xml:space="preserve"> </w:t>
      </w:r>
      <w:r>
        <w:t xml:space="preserve">(a)</w:t>
      </w:r>
      <w:r>
        <w:t xml:space="preserve"> </w:t>
      </w:r>
      <w:r>
        <w:rPr>
          <w:b/>
          <w:bCs/>
        </w:rPr>
        <w:t xml:space="preserve">Casebook ingestion:</w:t>
      </w:r>
      <w:r>
        <w:t xml:space="preserve"> </w:t>
      </w:r>
      <w:r>
        <w:t xml:space="preserve">whether casebook excerpts were ingested into the corpus. (b)</w:t>
      </w:r>
      <w:r>
        <w:t xml:space="preserve"> </w:t>
      </w:r>
      <w:r>
        <w:rPr>
          <w:b/>
          <w:bCs/>
        </w:rPr>
        <w:t xml:space="preserve">Student-work ingestion:</w:t>
      </w:r>
      <w:r>
        <w:t xml:space="preserve"> </w:t>
      </w:r>
      <w:r>
        <w:t xml:space="preserve">whether any student work was ingested (bears on the §XII.D privacy framing). (c)</w:t>
      </w:r>
      <w:r>
        <w:t xml:space="preserve"> </w:t>
      </w:r>
      <w:r>
        <w:rPr>
          <w:b/>
          <w:bCs/>
        </w:rPr>
        <w:t xml:space="preserve">Review coverage:</w:t>
      </w:r>
      <w:r>
        <w:t xml:space="preserve"> </w:t>
      </w:r>
      <w:r>
        <w:t xml:space="preserve">whether</w:t>
      </w:r>
      <w:r>
        <w:t xml:space="preserve"> </w:t>
      </w:r>
      <w:r>
        <w:rPr>
          <w:i/>
          <w:iCs/>
        </w:rPr>
        <w:t xml:space="preserve">every</w:t>
      </w:r>
      <w:r>
        <w:t xml:space="preserve"> </w:t>
      </w:r>
      <w:r>
        <w:t xml:space="preserve">one of the 198 snapshot-date pages was professor-reviewed before deployment — the</w:t>
      </w:r>
      <w:r>
        <w:t xml:space="preserve"> </w:t>
      </w:r>
      <w:r>
        <w:t xml:space="preserve">“reviewed static site”</w:t>
      </w:r>
      <w:r>
        <w:t xml:space="preserve"> </w:t>
      </w:r>
      <w:r>
        <w:t xml:space="preserve">claim rests on this. (d)</w:t>
      </w:r>
      <w:r>
        <w:t xml:space="preserve"> </w:t>
      </w:r>
      <w:r>
        <w:rPr>
          <w:b/>
          <w:bCs/>
        </w:rPr>
        <w:t xml:space="preserve">§X.E second instance:</w:t>
      </w:r>
      <w:r>
        <w:t xml:space="preserve"> </w:t>
      </w:r>
      <w:r>
        <w:t xml:space="preserve">if you have a specific course in mind for the</w:t>
      </w:r>
      <w:r>
        <w:t xml:space="preserve"> </w:t>
      </w:r>
      <w:r>
        <w:t xml:space="preserve">“minimum viable second instance”</w:t>
      </w:r>
      <w:r>
        <w:t xml:space="preserve"> </w:t>
      </w:r>
      <w:r>
        <w:t xml:space="preserve">(Torts? Contracts?), naming it sharpens the invitation. The draft hedges (a)–(c) honestly and the loop drafted balanced conditional language, but it is</w:t>
      </w:r>
      <w:r>
        <w:t xml:space="preserve"> </w:t>
      </w:r>
      <w:r>
        <w:rPr>
          <w:b/>
          <w:bCs/>
        </w:rPr>
        <w:t xml:space="preserve">barred from asserting an answer</w:t>
      </w:r>
      <w:r>
        <w:t xml:space="preserve">; at submission each wants one definitive sentence from you, after which §§IV/XII tighten accordingly.</w:t>
      </w:r>
    </w:p>
    <w:p>
      <w:pPr>
        <w:pStyle w:val="Compact"/>
        <w:numPr>
          <w:ilvl w:val="0"/>
          <w:numId w:val="1003"/>
        </w:numPr>
      </w:pPr>
      <w:r>
        <w:rPr>
          <w:b/>
          <w:bCs/>
        </w:rPr>
        <w:t xml:space="preserve">A few citations want a page-proof confirmation</w:t>
      </w:r>
      <w:r>
        <w:t xml:space="preserve"> </w:t>
      </w:r>
      <w:r>
        <w:t xml:space="preserve">(all flagged honestly, none guessed): the edited-volume chapter pins (</w:t>
      </w:r>
      <w:r>
        <w:rPr>
          <w:rStyle w:val="VerbatimChar"/>
        </w:rPr>
        <w:t xml:space="preserve">[confirm-at-proof: …]</w:t>
      </w:r>
      <w:r>
        <w:t xml:space="preserve"> </w:t>
      </w:r>
      <w:r>
        <w:t xml:space="preserve">on the</w:t>
      </w:r>
      <w:r>
        <w:t xml:space="preserve"> </w:t>
      </w:r>
      <w:r>
        <w:rPr>
          <w:i/>
          <w:iCs/>
        </w:rPr>
        <w:t xml:space="preserve">Building on Best Practices</w:t>
      </w:r>
      <w:r>
        <w:t xml:space="preserve">/Maranville chapter; the Boyer 1990 pagination; the exact 2025–26 title of ABA Standard 405).</w:t>
      </w:r>
      <w:r>
        <w:t xml:space="preserve"> </w:t>
      </w:r>
      <w:r>
        <w:rPr>
          <w:b/>
          <w:bCs/>
        </w:rPr>
        <w:t xml:space="preserve">New this round:</w:t>
      </w:r>
      <w:r>
        <w:t xml:space="preserve"> </w:t>
      </w:r>
      <w:r>
        <w:t xml:space="preserve">the §XII.B overreliance footnote cites Bastani et al.,</w:t>
      </w:r>
      <w:r>
        <w:t xml:space="preserve"> </w:t>
      </w:r>
      <w:r>
        <w:rPr>
          <w:i/>
          <w:iCs/>
        </w:rPr>
        <w:t xml:space="preserve">Generative AI Without Guardrails Can Harm Learning</w:t>
      </w:r>
      <w:r>
        <w:t xml:space="preserve">, PNAS 2025 — the source and its qualitative finding are verified, but (i) please confirm the</w:t>
      </w:r>
      <w:r>
        <w:t xml:space="preserve"> </w:t>
      </w:r>
      <w:r>
        <w:t xml:space="preserve">“about seventeen percent”</w:t>
      </w:r>
      <w:r>
        <w:t xml:space="preserve"> </w:t>
      </w:r>
      <w:r>
        <w:t xml:space="preserve">figure against the published text, and (ii)</w:t>
      </w:r>
      <w:r>
        <w:t xml:space="preserve"> </w:t>
      </w:r>
      <w:r>
        <w:rPr>
          <w:b/>
          <w:bCs/>
        </w:rPr>
        <w:t xml:space="preserve">PNAS issued a correction</w:t>
      </w:r>
      <w:r>
        <w:t xml:space="preserve"> </w:t>
      </w:r>
      <w:r>
        <w:t xml:space="preserve">to that article (DOI 10.1073/pnas.2518204122); confirm the cited numbers reflect the corrected version.</w:t>
      </w:r>
    </w:p>
    <w:p>
      <w:pPr>
        <w:pStyle w:val="Compact"/>
        <w:numPr>
          <w:ilvl w:val="0"/>
          <w:numId w:val="1003"/>
        </w:numPr>
      </w:pPr>
      <w:r>
        <w:rPr>
          <w:b/>
          <w:bCs/>
        </w:rPr>
        <w:t xml:space="preserve">Word count.</w:t>
      </w:r>
      <w:r>
        <w:t xml:space="preserve"> </w:t>
      </w:r>
      <w:r>
        <w:t xml:space="preserve">~104 words over the 14,000-word self-imposed ceiling. The editorial review itself called this a defensible policy-window crossing the venue is unlikely to enforce strictly; a final trim on §II.B/§II.D (over-budget; the protected §II.E/§II.F additions should stay) is available if you’d rather land under.</w:t>
      </w:r>
    </w:p>
    <w:p>
      <w:pPr>
        <w:pStyle w:val="Compact"/>
        <w:numPr>
          <w:ilvl w:val="0"/>
          <w:numId w:val="1003"/>
        </w:numPr>
      </w:pPr>
      <w:r>
        <w:rPr>
          <w:b/>
          <w:bCs/>
        </w:rPr>
        <w:t xml:space="preserve">Figures need format conversion before submission.</w:t>
      </w:r>
      <w:r>
        <w:t xml:space="preserve"> </w:t>
      </w:r>
      <w:r>
        <w:t xml:space="preserve">The captured figures are PNGs at screen resolution. JLE requires figures as</w:t>
      </w:r>
      <w:r>
        <w:t xml:space="preserve"> </w:t>
      </w:r>
      <w:r>
        <w:rPr>
          <w:b/>
          <w:bCs/>
        </w:rPr>
        <w:t xml:space="preserve">separate</w:t>
      </w:r>
      <w:r>
        <w:rPr>
          <w:b/>
          <w:bCs/>
        </w:rPr>
        <w:t xml:space="preserve"> </w:t>
      </w:r>
      <w:r>
        <w:rPr>
          <w:rStyle w:val="VerbatimChar"/>
          <w:b/>
          <w:bCs/>
        </w:rPr>
        <w:t xml:space="preserve">.jpg</w:t>
      </w:r>
      <w:r>
        <w:rPr>
          <w:b/>
          <w:bCs/>
        </w:rPr>
        <w:t xml:space="preserve">/</w:t>
      </w:r>
      <w:r>
        <w:rPr>
          <w:rStyle w:val="VerbatimChar"/>
          <w:b/>
          <w:bCs/>
        </w:rPr>
        <w:t xml:space="preserve">.tif</w:t>
      </w:r>
      <w:r>
        <w:rPr>
          <w:b/>
          <w:bCs/>
        </w:rPr>
        <w:t xml:space="preserve">/</w:t>
      </w:r>
      <w:r>
        <w:rPr>
          <w:rStyle w:val="VerbatimChar"/>
          <w:b/>
          <w:bCs/>
        </w:rPr>
        <w:t xml:space="preserve">.eps</w:t>
      </w:r>
      <w:r>
        <w:rPr>
          <w:b/>
          <w:bCs/>
        </w:rPr>
        <w:t xml:space="preserve"> </w:t>
      </w:r>
      <w:r>
        <w:rPr>
          <w:b/>
          <w:bCs/>
        </w:rPr>
        <w:t xml:space="preserve">files at ≥300 dpi, grayscale preferred, named to their in-text figure numbers.</w:t>
      </w:r>
      <w:r>
        <w:t xml:space="preserve"> </w:t>
      </w:r>
      <w:r>
        <w:t xml:space="preserve">This is an image-preparation step a person (or an image tool) must do; the writing loop cannot.</w:t>
      </w:r>
    </w:p>
    <w:p>
      <w:pPr>
        <w:pStyle w:val="Compact"/>
        <w:numPr>
          <w:ilvl w:val="0"/>
          <w:numId w:val="1003"/>
        </w:numPr>
      </w:pPr>
      <w:r>
        <w:rPr>
          <w:b/>
          <w:bCs/>
        </w:rPr>
        <w:t xml:space="preserve">Open review findings remain in the queue.</w:t>
      </w:r>
      <w:r>
        <w:t xml:space="preserve"> </w:t>
      </w:r>
      <w:r>
        <w:t xml:space="preserve">The article’s adversarial review personas continue to surface style/citation/coherence findings each pass; these are normal manuscript-QA items, not correctness blockers.</w:t>
      </w:r>
    </w:p>
    <w:p>
      <w:pPr>
        <w:pStyle w:val="Compact"/>
        <w:numPr>
          <w:ilvl w:val="0"/>
          <w:numId w:val="1003"/>
        </w:numPr>
      </w:pPr>
      <w:r>
        <w:rPr>
          <w:b/>
          <w:bCs/>
        </w:rPr>
        <w:t xml:space="preserve">This was never auto-finalized.</w:t>
      </w:r>
      <w:r>
        <w:t xml:space="preserve"> </w:t>
      </w:r>
      <w:r>
        <w:t xml:space="preserve">The internal</w:t>
      </w:r>
      <w:r>
        <w:t xml:space="preserve"> </w:t>
      </w:r>
      <w:r>
        <w:t xml:space="preserve">“submission-ready”</w:t>
      </w:r>
      <w:r>
        <w:t xml:space="preserve"> </w:t>
      </w:r>
      <w:r>
        <w:t xml:space="preserve">gate was deliberately never tripped; final sign-off is a human decision (yours).</w:t>
      </w:r>
    </w:p>
    <w:bookmarkEnd w:id="12"/>
    <w:bookmarkStart w:id="13" w:name="X00520a7ee07aa852fe7c7a5ded5236f0741c0ed"/>
    <w:p>
      <w:pPr>
        <w:pStyle w:val="Heading2"/>
      </w:pPr>
      <w:r>
        <w:t xml:space="preserve">5. Submission logistics (for when you decide to proceed)</w:t>
      </w:r>
    </w:p>
    <w:p>
      <w:pPr>
        <w:pStyle w:val="Compact"/>
        <w:numPr>
          <w:ilvl w:val="0"/>
          <w:numId w:val="1004"/>
        </w:numPr>
      </w:pPr>
      <w:r>
        <w:t xml:space="preserve">JLE accepts</w:t>
      </w:r>
      <w:r>
        <w:t xml:space="preserve"> </w:t>
      </w:r>
      <w:r>
        <w:rPr>
          <w:b/>
          <w:bCs/>
        </w:rPr>
        <w:t xml:space="preserve">exclusive</w:t>
      </w:r>
      <w:r>
        <w:t xml:space="preserve"> </w:t>
      </w:r>
      <w:r>
        <w:t xml:space="preserve">submissions via</w:t>
      </w:r>
      <w:r>
        <w:t xml:space="preserve"> </w:t>
      </w:r>
      <w:r>
        <w:rPr>
          <w:b/>
          <w:bCs/>
        </w:rPr>
        <w:t xml:space="preserve">Scholastica</w:t>
      </w:r>
      <w:r>
        <w:t xml:space="preserve"> </w:t>
      </w:r>
      <w:r>
        <w:t xml:space="preserve">(no simultaneous multi-journal submission).</w:t>
      </w:r>
    </w:p>
    <w:p>
      <w:pPr>
        <w:pStyle w:val="Compact"/>
        <w:numPr>
          <w:ilvl w:val="0"/>
          <w:numId w:val="1004"/>
        </w:numPr>
      </w:pPr>
      <w:r>
        <w:rPr>
          <w:b/>
          <w:bCs/>
        </w:rPr>
        <w:t xml:space="preserve">Bluebook 21st</w:t>
      </w:r>
      <w:r>
        <w:t xml:space="preserve"> </w:t>
      </w:r>
      <w:r>
        <w:t xml:space="preserve">citation form (already followed in the draft).</w:t>
      </w:r>
    </w:p>
    <w:p>
      <w:pPr>
        <w:pStyle w:val="Compact"/>
        <w:numPr>
          <w:ilvl w:val="0"/>
          <w:numId w:val="1004"/>
        </w:numPr>
      </w:pPr>
      <w:r>
        <w:t xml:space="preserve">Figures as separate ≥300 dpi files per §4.3.</w:t>
      </w:r>
    </w:p>
    <w:p>
      <w:pPr>
        <w:pStyle w:val="Compact"/>
        <w:numPr>
          <w:ilvl w:val="0"/>
          <w:numId w:val="1004"/>
        </w:numPr>
      </w:pPr>
      <w:r>
        <w:t xml:space="preserve">Empirical/evaluation material (§XI) may draw outside peer review; it is written to be peer-review-defensible (design-based-research framing).</w:t>
      </w:r>
    </w:p>
    <w:bookmarkEnd w:id="13"/>
    <w:bookmarkStart w:id="14" w:name="important"/>
    <w:p>
      <w:pPr>
        <w:pStyle w:val="Heading2"/>
      </w:pPr>
      <w:r>
        <w:t xml:space="preserve">6. Important</w:t>
      </w:r>
    </w:p>
    <w:p>
      <w:pPr>
        <w:pStyle w:val="FirstParagraph"/>
      </w:pPr>
      <w:r>
        <w:rPr>
          <w:b/>
          <w:bCs/>
        </w:rPr>
        <w:t xml:space="preserve">The system did not submit this article and did not email you.</w:t>
      </w:r>
      <w:r>
        <w:t xml:space="preserve"> </w:t>
      </w:r>
      <w:r>
        <w:t xml:space="preserve">Submitting to JLE and contacting you are human actions reserved for you and the author. This memo and the frozen draft are provided for your review only. The maintenance loop has been halted (a</w:t>
      </w:r>
      <w:r>
        <w:t xml:space="preserve"> </w:t>
      </w:r>
      <w:r>
        <w:rPr>
          <w:rStyle w:val="VerbatimChar"/>
        </w:rPr>
        <w:t xml:space="preserve">handoff_freeze</w:t>
      </w:r>
      <w:r>
        <w:t xml:space="preserve"> </w:t>
      </w:r>
      <w:r>
        <w:t xml:space="preserve">gate is set in the project state); it will not run again until that gate is cleared.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2026-05-30T23:49:10Z</dcterms:created>
  <dcterms:modified xsi:type="dcterms:W3CDTF">2026-05-30T23:49:10Z</dcterms:modified>
</cp:coreProperties>
</file>

<file path=docProps/custom.xml><?xml version="1.0" encoding="utf-8"?>
<Properties xmlns="http://schemas.openxmlformats.org/officeDocument/2006/custom-properties" xmlns:vt="http://schemas.openxmlformats.org/officeDocument/2006/docPropsVTypes"/>
</file>