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14664" w14:textId="77777777" w:rsidR="0060378F" w:rsidRPr="0060378F" w:rsidRDefault="0060378F" w:rsidP="0060378F">
      <w:pPr>
        <w:rPr>
          <w:b/>
          <w:bCs/>
        </w:rPr>
      </w:pPr>
      <w:r w:rsidRPr="0060378F">
        <w:rPr>
          <w:b/>
          <w:bCs/>
        </w:rPr>
        <w:t>Challenging Assumptions: The Inverse Relationship Between School Spending and Student Performance</w:t>
      </w:r>
    </w:p>
    <w:p w14:paraId="03BABE31" w14:textId="77777777" w:rsidR="00495037" w:rsidRDefault="00495037" w:rsidP="0060378F"/>
    <w:p w14:paraId="4B362CCA" w14:textId="1EBE4070" w:rsidR="0060378F" w:rsidRPr="0060378F" w:rsidRDefault="0060378F" w:rsidP="0060378F">
      <w:r w:rsidRPr="0060378F">
        <w:rPr>
          <w:b/>
          <w:bCs/>
        </w:rPr>
        <w:t>Introduction</w:t>
      </w:r>
      <w:r w:rsidRPr="0060378F">
        <w:br/>
        <w:t>The assumption that higher financial investment in education leads to better academic results is widely held. However, an analysis of school performance data across different spending levels reveals a more complex relationship. This report examines the connection between per-student spending and academic performance, focusing on metrics such as average math and reading scores and passing rates. The findings provide insights for more effective resource allocation strategies to optimize student success.</w:t>
      </w:r>
    </w:p>
    <w:p w14:paraId="78612B24" w14:textId="77777777" w:rsidR="0060378F" w:rsidRDefault="0060378F" w:rsidP="0060378F">
      <w:r w:rsidRPr="0060378F">
        <w:t>Top 5 and Bottom 5 Schools by Overall Performance</w:t>
      </w:r>
    </w:p>
    <w:p w14:paraId="39D67C6F" w14:textId="77777777" w:rsidR="0060378F" w:rsidRPr="0060378F" w:rsidRDefault="0060378F" w:rsidP="0060378F"/>
    <w:p w14:paraId="42C0FFDC" w14:textId="77777777" w:rsidR="0060378F" w:rsidRPr="0060378F" w:rsidRDefault="0060378F" w:rsidP="0060378F">
      <w:pPr>
        <w:ind w:left="720"/>
      </w:pPr>
      <w:r w:rsidRPr="0060378F">
        <w:t>Top 5 Performing Schools</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7"/>
        <w:gridCol w:w="1573"/>
        <w:gridCol w:w="1859"/>
        <w:gridCol w:w="1786"/>
      </w:tblGrid>
      <w:tr w:rsidR="0060378F" w:rsidRPr="0060378F" w14:paraId="6C4DEC22" w14:textId="77777777" w:rsidTr="0060378F">
        <w:trPr>
          <w:tblHeader/>
          <w:tblCellSpacing w:w="15" w:type="dxa"/>
        </w:trPr>
        <w:tc>
          <w:tcPr>
            <w:tcW w:w="0" w:type="auto"/>
            <w:vAlign w:val="center"/>
            <w:hideMark/>
          </w:tcPr>
          <w:p w14:paraId="01247776" w14:textId="77777777" w:rsidR="0060378F" w:rsidRPr="0060378F" w:rsidRDefault="0060378F" w:rsidP="0060378F">
            <w:r w:rsidRPr="0060378F">
              <w:t>School Name</w:t>
            </w:r>
          </w:p>
        </w:tc>
        <w:tc>
          <w:tcPr>
            <w:tcW w:w="0" w:type="auto"/>
            <w:vAlign w:val="center"/>
            <w:hideMark/>
          </w:tcPr>
          <w:p w14:paraId="6F07A9DA" w14:textId="77777777" w:rsidR="0060378F" w:rsidRPr="0060378F" w:rsidRDefault="0060378F" w:rsidP="0060378F">
            <w:r w:rsidRPr="0060378F">
              <w:t>% Passing Math</w:t>
            </w:r>
          </w:p>
        </w:tc>
        <w:tc>
          <w:tcPr>
            <w:tcW w:w="0" w:type="auto"/>
            <w:vAlign w:val="center"/>
            <w:hideMark/>
          </w:tcPr>
          <w:p w14:paraId="140C150C" w14:textId="77777777" w:rsidR="0060378F" w:rsidRPr="0060378F" w:rsidRDefault="0060378F" w:rsidP="0060378F">
            <w:r w:rsidRPr="0060378F">
              <w:t>% Passing Reading</w:t>
            </w:r>
          </w:p>
        </w:tc>
        <w:tc>
          <w:tcPr>
            <w:tcW w:w="0" w:type="auto"/>
            <w:vAlign w:val="center"/>
            <w:hideMark/>
          </w:tcPr>
          <w:p w14:paraId="2E902E53" w14:textId="77777777" w:rsidR="0060378F" w:rsidRPr="0060378F" w:rsidRDefault="0060378F" w:rsidP="0060378F">
            <w:r w:rsidRPr="0060378F">
              <w:t>% Overall Passing</w:t>
            </w:r>
          </w:p>
        </w:tc>
      </w:tr>
      <w:tr w:rsidR="0060378F" w:rsidRPr="0060378F" w14:paraId="77A58925" w14:textId="77777777" w:rsidTr="0060378F">
        <w:trPr>
          <w:tblCellSpacing w:w="15" w:type="dxa"/>
        </w:trPr>
        <w:tc>
          <w:tcPr>
            <w:tcW w:w="0" w:type="auto"/>
            <w:vAlign w:val="center"/>
            <w:hideMark/>
          </w:tcPr>
          <w:p w14:paraId="0468C738" w14:textId="77777777" w:rsidR="0060378F" w:rsidRPr="0060378F" w:rsidRDefault="0060378F" w:rsidP="0060378F">
            <w:r w:rsidRPr="0060378F">
              <w:t>Johnson High School</w:t>
            </w:r>
          </w:p>
        </w:tc>
        <w:tc>
          <w:tcPr>
            <w:tcW w:w="0" w:type="auto"/>
            <w:vAlign w:val="center"/>
            <w:hideMark/>
          </w:tcPr>
          <w:p w14:paraId="42AF745A" w14:textId="77777777" w:rsidR="0060378F" w:rsidRPr="0060378F" w:rsidRDefault="0060378F" w:rsidP="0060378F">
            <w:r w:rsidRPr="0060378F">
              <w:t>94.13%</w:t>
            </w:r>
          </w:p>
        </w:tc>
        <w:tc>
          <w:tcPr>
            <w:tcW w:w="0" w:type="auto"/>
            <w:vAlign w:val="center"/>
            <w:hideMark/>
          </w:tcPr>
          <w:p w14:paraId="600F85B2" w14:textId="77777777" w:rsidR="0060378F" w:rsidRPr="0060378F" w:rsidRDefault="0060378F" w:rsidP="0060378F">
            <w:r w:rsidRPr="0060378F">
              <w:t>97.04%</w:t>
            </w:r>
          </w:p>
        </w:tc>
        <w:tc>
          <w:tcPr>
            <w:tcW w:w="0" w:type="auto"/>
            <w:vAlign w:val="center"/>
            <w:hideMark/>
          </w:tcPr>
          <w:p w14:paraId="4E88F82C" w14:textId="77777777" w:rsidR="0060378F" w:rsidRPr="0060378F" w:rsidRDefault="0060378F" w:rsidP="0060378F">
            <w:r w:rsidRPr="0060378F">
              <w:t>91.33%</w:t>
            </w:r>
          </w:p>
        </w:tc>
      </w:tr>
      <w:tr w:rsidR="0060378F" w:rsidRPr="0060378F" w14:paraId="6AF17763" w14:textId="77777777" w:rsidTr="0060378F">
        <w:trPr>
          <w:tblCellSpacing w:w="15" w:type="dxa"/>
        </w:trPr>
        <w:tc>
          <w:tcPr>
            <w:tcW w:w="0" w:type="auto"/>
            <w:vAlign w:val="center"/>
            <w:hideMark/>
          </w:tcPr>
          <w:p w14:paraId="248B567D" w14:textId="77777777" w:rsidR="0060378F" w:rsidRPr="0060378F" w:rsidRDefault="0060378F" w:rsidP="0060378F">
            <w:r w:rsidRPr="0060378F">
              <w:t>Griffin High School</w:t>
            </w:r>
          </w:p>
        </w:tc>
        <w:tc>
          <w:tcPr>
            <w:tcW w:w="0" w:type="auto"/>
            <w:vAlign w:val="center"/>
            <w:hideMark/>
          </w:tcPr>
          <w:p w14:paraId="1081D19B" w14:textId="77777777" w:rsidR="0060378F" w:rsidRPr="0060378F" w:rsidRDefault="0060378F" w:rsidP="0060378F">
            <w:r w:rsidRPr="0060378F">
              <w:t>93.27%</w:t>
            </w:r>
          </w:p>
        </w:tc>
        <w:tc>
          <w:tcPr>
            <w:tcW w:w="0" w:type="auto"/>
            <w:vAlign w:val="center"/>
            <w:hideMark/>
          </w:tcPr>
          <w:p w14:paraId="5F52D2C4" w14:textId="77777777" w:rsidR="0060378F" w:rsidRPr="0060378F" w:rsidRDefault="0060378F" w:rsidP="0060378F">
            <w:r w:rsidRPr="0060378F">
              <w:t>97.31%</w:t>
            </w:r>
          </w:p>
        </w:tc>
        <w:tc>
          <w:tcPr>
            <w:tcW w:w="0" w:type="auto"/>
            <w:vAlign w:val="center"/>
            <w:hideMark/>
          </w:tcPr>
          <w:p w14:paraId="076C9088" w14:textId="77777777" w:rsidR="0060378F" w:rsidRPr="0060378F" w:rsidRDefault="0060378F" w:rsidP="0060378F">
            <w:r w:rsidRPr="0060378F">
              <w:t>90.95%</w:t>
            </w:r>
          </w:p>
        </w:tc>
      </w:tr>
      <w:tr w:rsidR="0060378F" w:rsidRPr="0060378F" w14:paraId="767F3066" w14:textId="77777777" w:rsidTr="0060378F">
        <w:trPr>
          <w:tblCellSpacing w:w="15" w:type="dxa"/>
        </w:trPr>
        <w:tc>
          <w:tcPr>
            <w:tcW w:w="0" w:type="auto"/>
            <w:vAlign w:val="center"/>
            <w:hideMark/>
          </w:tcPr>
          <w:p w14:paraId="4C7E03D4" w14:textId="77777777" w:rsidR="0060378F" w:rsidRPr="0060378F" w:rsidRDefault="0060378F" w:rsidP="0060378F">
            <w:r w:rsidRPr="0060378F">
              <w:t>Figueroa High School</w:t>
            </w:r>
          </w:p>
        </w:tc>
        <w:tc>
          <w:tcPr>
            <w:tcW w:w="0" w:type="auto"/>
            <w:vAlign w:val="center"/>
            <w:hideMark/>
          </w:tcPr>
          <w:p w14:paraId="1965C764" w14:textId="77777777" w:rsidR="0060378F" w:rsidRPr="0060378F" w:rsidRDefault="0060378F" w:rsidP="0060378F">
            <w:r w:rsidRPr="0060378F">
              <w:t>93.39%</w:t>
            </w:r>
          </w:p>
        </w:tc>
        <w:tc>
          <w:tcPr>
            <w:tcW w:w="0" w:type="auto"/>
            <w:vAlign w:val="center"/>
            <w:hideMark/>
          </w:tcPr>
          <w:p w14:paraId="709F05F7" w14:textId="77777777" w:rsidR="0060378F" w:rsidRPr="0060378F" w:rsidRDefault="0060378F" w:rsidP="0060378F">
            <w:r w:rsidRPr="0060378F">
              <w:t>97.14%</w:t>
            </w:r>
          </w:p>
        </w:tc>
        <w:tc>
          <w:tcPr>
            <w:tcW w:w="0" w:type="auto"/>
            <w:vAlign w:val="center"/>
            <w:hideMark/>
          </w:tcPr>
          <w:p w14:paraId="1FB4CF3E" w14:textId="77777777" w:rsidR="0060378F" w:rsidRPr="0060378F" w:rsidRDefault="0060378F" w:rsidP="0060378F">
            <w:r w:rsidRPr="0060378F">
              <w:t>90.60%</w:t>
            </w:r>
          </w:p>
        </w:tc>
      </w:tr>
      <w:tr w:rsidR="0060378F" w:rsidRPr="0060378F" w14:paraId="0A7EDB2A" w14:textId="77777777" w:rsidTr="0060378F">
        <w:trPr>
          <w:tblCellSpacing w:w="15" w:type="dxa"/>
        </w:trPr>
        <w:tc>
          <w:tcPr>
            <w:tcW w:w="0" w:type="auto"/>
            <w:vAlign w:val="center"/>
            <w:hideMark/>
          </w:tcPr>
          <w:p w14:paraId="08709FB6" w14:textId="77777777" w:rsidR="0060378F" w:rsidRPr="0060378F" w:rsidRDefault="0060378F" w:rsidP="0060378F">
            <w:r w:rsidRPr="0060378F">
              <w:t>Peña High School</w:t>
            </w:r>
          </w:p>
        </w:tc>
        <w:tc>
          <w:tcPr>
            <w:tcW w:w="0" w:type="auto"/>
            <w:vAlign w:val="center"/>
            <w:hideMark/>
          </w:tcPr>
          <w:p w14:paraId="63ABB6E6" w14:textId="77777777" w:rsidR="0060378F" w:rsidRPr="0060378F" w:rsidRDefault="0060378F" w:rsidP="0060378F">
            <w:r w:rsidRPr="0060378F">
              <w:t>93.87%</w:t>
            </w:r>
          </w:p>
        </w:tc>
        <w:tc>
          <w:tcPr>
            <w:tcW w:w="0" w:type="auto"/>
            <w:vAlign w:val="center"/>
            <w:hideMark/>
          </w:tcPr>
          <w:p w14:paraId="4D946EB8" w14:textId="77777777" w:rsidR="0060378F" w:rsidRPr="0060378F" w:rsidRDefault="0060378F" w:rsidP="0060378F">
            <w:r w:rsidRPr="0060378F">
              <w:t>96.54%</w:t>
            </w:r>
          </w:p>
        </w:tc>
        <w:tc>
          <w:tcPr>
            <w:tcW w:w="0" w:type="auto"/>
            <w:vAlign w:val="center"/>
            <w:hideMark/>
          </w:tcPr>
          <w:p w14:paraId="52686887" w14:textId="77777777" w:rsidR="0060378F" w:rsidRPr="0060378F" w:rsidRDefault="0060378F" w:rsidP="0060378F">
            <w:r w:rsidRPr="0060378F">
              <w:t>90.58%</w:t>
            </w:r>
          </w:p>
        </w:tc>
      </w:tr>
      <w:tr w:rsidR="0060378F" w:rsidRPr="0060378F" w14:paraId="41706762" w14:textId="77777777" w:rsidTr="0060378F">
        <w:trPr>
          <w:tblCellSpacing w:w="15" w:type="dxa"/>
        </w:trPr>
        <w:tc>
          <w:tcPr>
            <w:tcW w:w="0" w:type="auto"/>
            <w:vAlign w:val="center"/>
            <w:hideMark/>
          </w:tcPr>
          <w:p w14:paraId="3FAA7EC0" w14:textId="77777777" w:rsidR="0060378F" w:rsidRPr="0060378F" w:rsidRDefault="0060378F" w:rsidP="0060378F">
            <w:r w:rsidRPr="0060378F">
              <w:t>Wright High School</w:t>
            </w:r>
          </w:p>
        </w:tc>
        <w:tc>
          <w:tcPr>
            <w:tcW w:w="0" w:type="auto"/>
            <w:vAlign w:val="center"/>
            <w:hideMark/>
          </w:tcPr>
          <w:p w14:paraId="0ACD50D6" w14:textId="77777777" w:rsidR="0060378F" w:rsidRPr="0060378F" w:rsidRDefault="0060378F" w:rsidP="0060378F">
            <w:r w:rsidRPr="0060378F">
              <w:t>94.59%</w:t>
            </w:r>
          </w:p>
        </w:tc>
        <w:tc>
          <w:tcPr>
            <w:tcW w:w="0" w:type="auto"/>
            <w:vAlign w:val="center"/>
            <w:hideMark/>
          </w:tcPr>
          <w:p w14:paraId="01A2E75B" w14:textId="77777777" w:rsidR="0060378F" w:rsidRPr="0060378F" w:rsidRDefault="0060378F" w:rsidP="0060378F">
            <w:r w:rsidRPr="0060378F">
              <w:t>95.95%</w:t>
            </w:r>
          </w:p>
        </w:tc>
        <w:tc>
          <w:tcPr>
            <w:tcW w:w="0" w:type="auto"/>
            <w:vAlign w:val="center"/>
            <w:hideMark/>
          </w:tcPr>
          <w:p w14:paraId="619237B8" w14:textId="77777777" w:rsidR="0060378F" w:rsidRPr="0060378F" w:rsidRDefault="0060378F" w:rsidP="0060378F">
            <w:r w:rsidRPr="0060378F">
              <w:t>90.54%</w:t>
            </w:r>
          </w:p>
        </w:tc>
      </w:tr>
    </w:tbl>
    <w:p w14:paraId="199DC208" w14:textId="77777777" w:rsidR="0060378F" w:rsidRDefault="0060378F" w:rsidP="0060378F">
      <w:pPr>
        <w:ind w:left="720"/>
      </w:pPr>
    </w:p>
    <w:p w14:paraId="534F16AB" w14:textId="77777777" w:rsidR="0060378F" w:rsidRDefault="0060378F" w:rsidP="0060378F">
      <w:pPr>
        <w:ind w:left="720"/>
      </w:pPr>
    </w:p>
    <w:p w14:paraId="103B023B" w14:textId="54296686" w:rsidR="0060378F" w:rsidRPr="0060378F" w:rsidRDefault="0060378F" w:rsidP="0060378F">
      <w:pPr>
        <w:ind w:left="720"/>
      </w:pPr>
      <w:r w:rsidRPr="0060378F">
        <w:t>Bottom 5 Schools</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2"/>
        <w:gridCol w:w="1573"/>
        <w:gridCol w:w="1859"/>
        <w:gridCol w:w="1786"/>
      </w:tblGrid>
      <w:tr w:rsidR="0060378F" w:rsidRPr="0060378F" w14:paraId="0EC15468" w14:textId="77777777" w:rsidTr="0060378F">
        <w:trPr>
          <w:tblHeader/>
          <w:tblCellSpacing w:w="15" w:type="dxa"/>
        </w:trPr>
        <w:tc>
          <w:tcPr>
            <w:tcW w:w="0" w:type="auto"/>
            <w:vAlign w:val="center"/>
            <w:hideMark/>
          </w:tcPr>
          <w:p w14:paraId="42D14CED" w14:textId="77777777" w:rsidR="0060378F" w:rsidRPr="0060378F" w:rsidRDefault="0060378F" w:rsidP="0060378F">
            <w:r w:rsidRPr="0060378F">
              <w:t>School Name</w:t>
            </w:r>
          </w:p>
        </w:tc>
        <w:tc>
          <w:tcPr>
            <w:tcW w:w="0" w:type="auto"/>
            <w:vAlign w:val="center"/>
            <w:hideMark/>
          </w:tcPr>
          <w:p w14:paraId="7281027A" w14:textId="77777777" w:rsidR="0060378F" w:rsidRPr="0060378F" w:rsidRDefault="0060378F" w:rsidP="0060378F">
            <w:r w:rsidRPr="0060378F">
              <w:t>% Passing Math</w:t>
            </w:r>
          </w:p>
        </w:tc>
        <w:tc>
          <w:tcPr>
            <w:tcW w:w="0" w:type="auto"/>
            <w:vAlign w:val="center"/>
            <w:hideMark/>
          </w:tcPr>
          <w:p w14:paraId="5A48EF1D" w14:textId="77777777" w:rsidR="0060378F" w:rsidRPr="0060378F" w:rsidRDefault="0060378F" w:rsidP="0060378F">
            <w:r w:rsidRPr="0060378F">
              <w:t>% Passing Reading</w:t>
            </w:r>
          </w:p>
        </w:tc>
        <w:tc>
          <w:tcPr>
            <w:tcW w:w="0" w:type="auto"/>
            <w:vAlign w:val="center"/>
            <w:hideMark/>
          </w:tcPr>
          <w:p w14:paraId="3B0A21D9" w14:textId="77777777" w:rsidR="0060378F" w:rsidRPr="0060378F" w:rsidRDefault="0060378F" w:rsidP="0060378F">
            <w:r w:rsidRPr="0060378F">
              <w:t>% Overall Passing</w:t>
            </w:r>
          </w:p>
        </w:tc>
      </w:tr>
      <w:tr w:rsidR="0060378F" w:rsidRPr="0060378F" w14:paraId="11D8C951" w14:textId="77777777" w:rsidTr="0060378F">
        <w:trPr>
          <w:tblCellSpacing w:w="15" w:type="dxa"/>
        </w:trPr>
        <w:tc>
          <w:tcPr>
            <w:tcW w:w="0" w:type="auto"/>
            <w:vAlign w:val="center"/>
            <w:hideMark/>
          </w:tcPr>
          <w:p w14:paraId="29CFD3B4" w14:textId="77777777" w:rsidR="0060378F" w:rsidRPr="0060378F" w:rsidRDefault="0060378F" w:rsidP="0060378F">
            <w:r w:rsidRPr="0060378F">
              <w:t>Shelton High School</w:t>
            </w:r>
          </w:p>
        </w:tc>
        <w:tc>
          <w:tcPr>
            <w:tcW w:w="0" w:type="auto"/>
            <w:vAlign w:val="center"/>
            <w:hideMark/>
          </w:tcPr>
          <w:p w14:paraId="24F96387" w14:textId="77777777" w:rsidR="0060378F" w:rsidRPr="0060378F" w:rsidRDefault="0060378F" w:rsidP="0060378F">
            <w:r w:rsidRPr="0060378F">
              <w:t>66.37%</w:t>
            </w:r>
          </w:p>
        </w:tc>
        <w:tc>
          <w:tcPr>
            <w:tcW w:w="0" w:type="auto"/>
            <w:vAlign w:val="center"/>
            <w:hideMark/>
          </w:tcPr>
          <w:p w14:paraId="0E6C024B" w14:textId="77777777" w:rsidR="0060378F" w:rsidRPr="0060378F" w:rsidRDefault="0060378F" w:rsidP="0060378F">
            <w:r w:rsidRPr="0060378F">
              <w:t>80.22%</w:t>
            </w:r>
          </w:p>
        </w:tc>
        <w:tc>
          <w:tcPr>
            <w:tcW w:w="0" w:type="auto"/>
            <w:vAlign w:val="center"/>
            <w:hideMark/>
          </w:tcPr>
          <w:p w14:paraId="60A0BF53" w14:textId="77777777" w:rsidR="0060378F" w:rsidRPr="0060378F" w:rsidRDefault="0060378F" w:rsidP="0060378F">
            <w:r w:rsidRPr="0060378F">
              <w:t>52.99%</w:t>
            </w:r>
          </w:p>
        </w:tc>
      </w:tr>
      <w:tr w:rsidR="0060378F" w:rsidRPr="0060378F" w14:paraId="7BA16EC9" w14:textId="77777777" w:rsidTr="0060378F">
        <w:trPr>
          <w:tblCellSpacing w:w="15" w:type="dxa"/>
        </w:trPr>
        <w:tc>
          <w:tcPr>
            <w:tcW w:w="0" w:type="auto"/>
            <w:vAlign w:val="center"/>
            <w:hideMark/>
          </w:tcPr>
          <w:p w14:paraId="44AFED0F" w14:textId="77777777" w:rsidR="0060378F" w:rsidRPr="0060378F" w:rsidRDefault="0060378F" w:rsidP="0060378F">
            <w:r w:rsidRPr="0060378F">
              <w:t>Hernandez High School</w:t>
            </w:r>
          </w:p>
        </w:tc>
        <w:tc>
          <w:tcPr>
            <w:tcW w:w="0" w:type="auto"/>
            <w:vAlign w:val="center"/>
            <w:hideMark/>
          </w:tcPr>
          <w:p w14:paraId="2C2640FA" w14:textId="77777777" w:rsidR="0060378F" w:rsidRPr="0060378F" w:rsidRDefault="0060378F" w:rsidP="0060378F">
            <w:r w:rsidRPr="0060378F">
              <w:t>65.99%</w:t>
            </w:r>
          </w:p>
        </w:tc>
        <w:tc>
          <w:tcPr>
            <w:tcW w:w="0" w:type="auto"/>
            <w:vAlign w:val="center"/>
            <w:hideMark/>
          </w:tcPr>
          <w:p w14:paraId="52977935" w14:textId="77777777" w:rsidR="0060378F" w:rsidRPr="0060378F" w:rsidRDefault="0060378F" w:rsidP="0060378F">
            <w:r w:rsidRPr="0060378F">
              <w:t>80.74%</w:t>
            </w:r>
          </w:p>
        </w:tc>
        <w:tc>
          <w:tcPr>
            <w:tcW w:w="0" w:type="auto"/>
            <w:vAlign w:val="center"/>
            <w:hideMark/>
          </w:tcPr>
          <w:p w14:paraId="1811BD8C" w14:textId="77777777" w:rsidR="0060378F" w:rsidRPr="0060378F" w:rsidRDefault="0060378F" w:rsidP="0060378F">
            <w:r w:rsidRPr="0060378F">
              <w:t>53.20%</w:t>
            </w:r>
          </w:p>
        </w:tc>
      </w:tr>
      <w:tr w:rsidR="0060378F" w:rsidRPr="0060378F" w14:paraId="76EB7F6E" w14:textId="77777777" w:rsidTr="0060378F">
        <w:trPr>
          <w:tblCellSpacing w:w="15" w:type="dxa"/>
        </w:trPr>
        <w:tc>
          <w:tcPr>
            <w:tcW w:w="0" w:type="auto"/>
            <w:vAlign w:val="center"/>
            <w:hideMark/>
          </w:tcPr>
          <w:p w14:paraId="7B24076F" w14:textId="77777777" w:rsidR="0060378F" w:rsidRPr="0060378F" w:rsidRDefault="0060378F" w:rsidP="0060378F">
            <w:r w:rsidRPr="0060378F">
              <w:t>Wilson High School</w:t>
            </w:r>
          </w:p>
        </w:tc>
        <w:tc>
          <w:tcPr>
            <w:tcW w:w="0" w:type="auto"/>
            <w:vAlign w:val="center"/>
            <w:hideMark/>
          </w:tcPr>
          <w:p w14:paraId="303E1540" w14:textId="77777777" w:rsidR="0060378F" w:rsidRPr="0060378F" w:rsidRDefault="0060378F" w:rsidP="0060378F">
            <w:r w:rsidRPr="0060378F">
              <w:t>65.68%</w:t>
            </w:r>
          </w:p>
        </w:tc>
        <w:tc>
          <w:tcPr>
            <w:tcW w:w="0" w:type="auto"/>
            <w:vAlign w:val="center"/>
            <w:hideMark/>
          </w:tcPr>
          <w:p w14:paraId="58C20FB1" w14:textId="77777777" w:rsidR="0060378F" w:rsidRPr="0060378F" w:rsidRDefault="0060378F" w:rsidP="0060378F">
            <w:r w:rsidRPr="0060378F">
              <w:t>81.32%</w:t>
            </w:r>
          </w:p>
        </w:tc>
        <w:tc>
          <w:tcPr>
            <w:tcW w:w="0" w:type="auto"/>
            <w:vAlign w:val="center"/>
            <w:hideMark/>
          </w:tcPr>
          <w:p w14:paraId="27E0D22B" w14:textId="77777777" w:rsidR="0060378F" w:rsidRPr="0060378F" w:rsidRDefault="0060378F" w:rsidP="0060378F">
            <w:r w:rsidRPr="0060378F">
              <w:t>53.51%</w:t>
            </w:r>
          </w:p>
        </w:tc>
      </w:tr>
      <w:tr w:rsidR="0060378F" w:rsidRPr="0060378F" w14:paraId="5DFB24C0" w14:textId="77777777" w:rsidTr="0060378F">
        <w:trPr>
          <w:tblCellSpacing w:w="15" w:type="dxa"/>
        </w:trPr>
        <w:tc>
          <w:tcPr>
            <w:tcW w:w="0" w:type="auto"/>
            <w:vAlign w:val="center"/>
            <w:hideMark/>
          </w:tcPr>
          <w:p w14:paraId="43848790" w14:textId="77777777" w:rsidR="0060378F" w:rsidRPr="0060378F" w:rsidRDefault="0060378F" w:rsidP="0060378F">
            <w:r w:rsidRPr="0060378F">
              <w:t>Huang High School</w:t>
            </w:r>
          </w:p>
        </w:tc>
        <w:tc>
          <w:tcPr>
            <w:tcW w:w="0" w:type="auto"/>
            <w:vAlign w:val="center"/>
            <w:hideMark/>
          </w:tcPr>
          <w:p w14:paraId="4E5168AB" w14:textId="77777777" w:rsidR="0060378F" w:rsidRPr="0060378F" w:rsidRDefault="0060378F" w:rsidP="0060378F">
            <w:r w:rsidRPr="0060378F">
              <w:t>66.75%</w:t>
            </w:r>
          </w:p>
        </w:tc>
        <w:tc>
          <w:tcPr>
            <w:tcW w:w="0" w:type="auto"/>
            <w:vAlign w:val="center"/>
            <w:hideMark/>
          </w:tcPr>
          <w:p w14:paraId="24293B4B" w14:textId="77777777" w:rsidR="0060378F" w:rsidRPr="0060378F" w:rsidRDefault="0060378F" w:rsidP="0060378F">
            <w:r w:rsidRPr="0060378F">
              <w:t>80.86%</w:t>
            </w:r>
          </w:p>
        </w:tc>
        <w:tc>
          <w:tcPr>
            <w:tcW w:w="0" w:type="auto"/>
            <w:vAlign w:val="center"/>
            <w:hideMark/>
          </w:tcPr>
          <w:p w14:paraId="5CD4778C" w14:textId="77777777" w:rsidR="0060378F" w:rsidRPr="0060378F" w:rsidRDefault="0060378F" w:rsidP="0060378F">
            <w:r w:rsidRPr="0060378F">
              <w:t>53.53%</w:t>
            </w:r>
          </w:p>
        </w:tc>
      </w:tr>
      <w:tr w:rsidR="0060378F" w:rsidRPr="0060378F" w14:paraId="553A626E" w14:textId="77777777" w:rsidTr="0060378F">
        <w:trPr>
          <w:tblCellSpacing w:w="15" w:type="dxa"/>
        </w:trPr>
        <w:tc>
          <w:tcPr>
            <w:tcW w:w="0" w:type="auto"/>
            <w:vAlign w:val="center"/>
            <w:hideMark/>
          </w:tcPr>
          <w:p w14:paraId="06BDD35D" w14:textId="77777777" w:rsidR="0060378F" w:rsidRPr="0060378F" w:rsidRDefault="0060378F" w:rsidP="0060378F">
            <w:r w:rsidRPr="0060378F">
              <w:t>Cabrera High School</w:t>
            </w:r>
          </w:p>
        </w:tc>
        <w:tc>
          <w:tcPr>
            <w:tcW w:w="0" w:type="auto"/>
            <w:vAlign w:val="center"/>
            <w:hideMark/>
          </w:tcPr>
          <w:p w14:paraId="3B6242B2" w14:textId="77777777" w:rsidR="0060378F" w:rsidRPr="0060378F" w:rsidRDefault="0060378F" w:rsidP="0060378F">
            <w:r w:rsidRPr="0060378F">
              <w:t>66.06%</w:t>
            </w:r>
          </w:p>
        </w:tc>
        <w:tc>
          <w:tcPr>
            <w:tcW w:w="0" w:type="auto"/>
            <w:vAlign w:val="center"/>
            <w:hideMark/>
          </w:tcPr>
          <w:p w14:paraId="43A56B13" w14:textId="77777777" w:rsidR="0060378F" w:rsidRPr="0060378F" w:rsidRDefault="0060378F" w:rsidP="0060378F">
            <w:r w:rsidRPr="0060378F">
              <w:t>81.22%</w:t>
            </w:r>
          </w:p>
        </w:tc>
        <w:tc>
          <w:tcPr>
            <w:tcW w:w="0" w:type="auto"/>
            <w:vAlign w:val="center"/>
            <w:hideMark/>
          </w:tcPr>
          <w:p w14:paraId="3C098B86" w14:textId="77777777" w:rsidR="0060378F" w:rsidRPr="0060378F" w:rsidRDefault="0060378F" w:rsidP="0060378F">
            <w:r w:rsidRPr="0060378F">
              <w:t>53.54%</w:t>
            </w:r>
          </w:p>
        </w:tc>
      </w:tr>
    </w:tbl>
    <w:p w14:paraId="6522ED69" w14:textId="77777777" w:rsidR="0060378F" w:rsidRDefault="0060378F" w:rsidP="0060378F"/>
    <w:p w14:paraId="3BDEEC21" w14:textId="16EEE063" w:rsidR="0060378F" w:rsidRPr="0060378F" w:rsidRDefault="0060378F" w:rsidP="0060378F">
      <w:pPr>
        <w:rPr>
          <w:b/>
          <w:bCs/>
        </w:rPr>
      </w:pPr>
      <w:r w:rsidRPr="0060378F">
        <w:rPr>
          <w:b/>
          <w:bCs/>
        </w:rPr>
        <w:t>Key Trends</w:t>
      </w:r>
    </w:p>
    <w:p w14:paraId="39792FCD" w14:textId="1289C4DF" w:rsidR="0060378F" w:rsidRDefault="0060378F" w:rsidP="0060378F">
      <w:pPr>
        <w:numPr>
          <w:ilvl w:val="0"/>
          <w:numId w:val="5"/>
        </w:numPr>
      </w:pPr>
      <w:r w:rsidRPr="0060378F">
        <w:rPr>
          <w:b/>
          <w:bCs/>
        </w:rPr>
        <w:lastRenderedPageBreak/>
        <w:t>Inverse Relationship Between Spending and Academic Performance</w:t>
      </w:r>
      <w:r w:rsidRPr="0060378F">
        <w:br/>
        <w:t>Schools with lower per-student spending (below $585) demonstrate significantly higher performance, with an average overall passing rate of 90.37%. In contrast, schools in the "$645-680" spending range have a much lower passing rate of 53.53%.</w:t>
      </w:r>
    </w:p>
    <w:p w14:paraId="38C5ACFA" w14:textId="77777777" w:rsidR="00844874" w:rsidRPr="0060378F" w:rsidRDefault="00844874" w:rsidP="00844874">
      <w:pPr>
        <w:ind w:left="720"/>
      </w:pPr>
    </w:p>
    <w:p w14:paraId="3E61E930" w14:textId="49A5C562" w:rsidR="0060378F" w:rsidRPr="0060378F" w:rsidRDefault="0060378F" w:rsidP="0060378F">
      <w:pPr>
        <w:numPr>
          <w:ilvl w:val="0"/>
          <w:numId w:val="5"/>
        </w:numPr>
      </w:pPr>
      <w:r w:rsidRPr="0060378F">
        <w:rPr>
          <w:b/>
          <w:bCs/>
        </w:rPr>
        <w:t>Decline in Passing Rates with Increased Spending</w:t>
      </w:r>
      <w:r w:rsidRPr="0060378F">
        <w:br/>
        <w:t>As spending per student increases, passing rates for both math and reading decline. The "&lt;$585" category shows 93.46% passing math, compared to just 66.16% in the "$645-680" category, indicating that higher spending does not necessarily correlate with better academic outcomes.</w:t>
      </w:r>
    </w:p>
    <w:p w14:paraId="4D3BB8AB" w14:textId="77777777" w:rsidR="0060378F" w:rsidRPr="0060378F" w:rsidRDefault="0060378F" w:rsidP="0060378F">
      <w:r w:rsidRPr="0060378F">
        <w:rPr>
          <w:b/>
          <w:bCs/>
        </w:rPr>
        <w:t>Conclusion</w:t>
      </w:r>
      <w:r w:rsidRPr="0060378F">
        <w:br/>
        <w:t>The analysis challenges the notion that increased financial resources directly lead to improved academic outcomes. Instead, factors such as resource allocation efficiency, teaching quality, and student engagement appear more influential. A strategic approach to educational funding that prioritizes these elements may better enhance student achievement.</w:t>
      </w:r>
    </w:p>
    <w:p w14:paraId="16E7B625" w14:textId="3AE8EC56" w:rsidR="00D309E4" w:rsidRPr="0060378F" w:rsidRDefault="00D309E4" w:rsidP="0060378F"/>
    <w:sectPr w:rsidR="00D309E4" w:rsidRPr="00603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A73B4"/>
    <w:multiLevelType w:val="multilevel"/>
    <w:tmpl w:val="33C67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7271F"/>
    <w:multiLevelType w:val="multilevel"/>
    <w:tmpl w:val="3726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B0BF1"/>
    <w:multiLevelType w:val="multilevel"/>
    <w:tmpl w:val="8E8E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D5B63"/>
    <w:multiLevelType w:val="multilevel"/>
    <w:tmpl w:val="54C22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D96152"/>
    <w:multiLevelType w:val="multilevel"/>
    <w:tmpl w:val="C8F88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931811">
    <w:abstractNumId w:val="0"/>
  </w:num>
  <w:num w:numId="2" w16cid:durableId="703217816">
    <w:abstractNumId w:val="1"/>
  </w:num>
  <w:num w:numId="3" w16cid:durableId="954755952">
    <w:abstractNumId w:val="3"/>
  </w:num>
  <w:num w:numId="4" w16cid:durableId="428089703">
    <w:abstractNumId w:val="2"/>
  </w:num>
  <w:num w:numId="5" w16cid:durableId="1201671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207B"/>
    <w:rsid w:val="00004B6D"/>
    <w:rsid w:val="001505D8"/>
    <w:rsid w:val="00283C21"/>
    <w:rsid w:val="0033207B"/>
    <w:rsid w:val="00495037"/>
    <w:rsid w:val="0060378F"/>
    <w:rsid w:val="007E07D5"/>
    <w:rsid w:val="00844874"/>
    <w:rsid w:val="00966632"/>
    <w:rsid w:val="00A3021C"/>
    <w:rsid w:val="00BC56C0"/>
    <w:rsid w:val="00D309E4"/>
    <w:rsid w:val="00D93C03"/>
  </w:rsids>
  <m:mathPr>
    <m:mathFont m:val="Cambria Math"/>
    <m:brkBin m:val="before"/>
    <m:brkBinSub m:val="--"/>
    <m:smallFrac m:val="0"/>
    <m:dispDef/>
    <m:lMargin m:val="0"/>
    <m:rMargin m:val="0"/>
    <m:defJc m:val="centerGroup"/>
    <m:wrapIndent m:val="1440"/>
    <m:intLim m:val="subSup"/>
    <m:naryLim m:val="undOvr"/>
  </m:mathPr>
  <w:themeFontLang w:val="en-G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4638"/>
  <w15:chartTrackingRefBased/>
  <w15:docId w15:val="{623EAB0C-C399-4691-9068-CF47F1A2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07B"/>
    <w:rPr>
      <w:rFonts w:eastAsiaTheme="majorEastAsia" w:cstheme="majorBidi"/>
      <w:color w:val="272727" w:themeColor="text1" w:themeTint="D8"/>
    </w:rPr>
  </w:style>
  <w:style w:type="paragraph" w:styleId="Title">
    <w:name w:val="Title"/>
    <w:basedOn w:val="Normal"/>
    <w:next w:val="Normal"/>
    <w:link w:val="TitleChar"/>
    <w:uiPriority w:val="10"/>
    <w:qFormat/>
    <w:rsid w:val="00332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07B"/>
    <w:pPr>
      <w:spacing w:before="160"/>
      <w:jc w:val="center"/>
    </w:pPr>
    <w:rPr>
      <w:i/>
      <w:iCs/>
      <w:color w:val="404040" w:themeColor="text1" w:themeTint="BF"/>
    </w:rPr>
  </w:style>
  <w:style w:type="character" w:customStyle="1" w:styleId="QuoteChar">
    <w:name w:val="Quote Char"/>
    <w:basedOn w:val="DefaultParagraphFont"/>
    <w:link w:val="Quote"/>
    <w:uiPriority w:val="29"/>
    <w:rsid w:val="0033207B"/>
    <w:rPr>
      <w:i/>
      <w:iCs/>
      <w:color w:val="404040" w:themeColor="text1" w:themeTint="BF"/>
    </w:rPr>
  </w:style>
  <w:style w:type="paragraph" w:styleId="ListParagraph">
    <w:name w:val="List Paragraph"/>
    <w:basedOn w:val="Normal"/>
    <w:uiPriority w:val="34"/>
    <w:qFormat/>
    <w:rsid w:val="0033207B"/>
    <w:pPr>
      <w:ind w:left="720"/>
      <w:contextualSpacing/>
    </w:pPr>
  </w:style>
  <w:style w:type="character" w:styleId="IntenseEmphasis">
    <w:name w:val="Intense Emphasis"/>
    <w:basedOn w:val="DefaultParagraphFont"/>
    <w:uiPriority w:val="21"/>
    <w:qFormat/>
    <w:rsid w:val="0033207B"/>
    <w:rPr>
      <w:i/>
      <w:iCs/>
      <w:color w:val="0F4761" w:themeColor="accent1" w:themeShade="BF"/>
    </w:rPr>
  </w:style>
  <w:style w:type="paragraph" w:styleId="IntenseQuote">
    <w:name w:val="Intense Quote"/>
    <w:basedOn w:val="Normal"/>
    <w:next w:val="Normal"/>
    <w:link w:val="IntenseQuoteChar"/>
    <w:uiPriority w:val="30"/>
    <w:qFormat/>
    <w:rsid w:val="00332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07B"/>
    <w:rPr>
      <w:i/>
      <w:iCs/>
      <w:color w:val="0F4761" w:themeColor="accent1" w:themeShade="BF"/>
    </w:rPr>
  </w:style>
  <w:style w:type="character" w:styleId="IntenseReference">
    <w:name w:val="Intense Reference"/>
    <w:basedOn w:val="DefaultParagraphFont"/>
    <w:uiPriority w:val="32"/>
    <w:qFormat/>
    <w:rsid w:val="0033207B"/>
    <w:rPr>
      <w:b/>
      <w:bCs/>
      <w:smallCaps/>
      <w:color w:val="0F4761" w:themeColor="accent1" w:themeShade="BF"/>
      <w:spacing w:val="5"/>
    </w:rPr>
  </w:style>
  <w:style w:type="table" w:styleId="TableGrid">
    <w:name w:val="Table Grid"/>
    <w:basedOn w:val="TableNormal"/>
    <w:uiPriority w:val="39"/>
    <w:rsid w:val="00332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586328">
      <w:bodyDiv w:val="1"/>
      <w:marLeft w:val="0"/>
      <w:marRight w:val="0"/>
      <w:marTop w:val="0"/>
      <w:marBottom w:val="0"/>
      <w:divBdr>
        <w:top w:val="none" w:sz="0" w:space="0" w:color="auto"/>
        <w:left w:val="none" w:sz="0" w:space="0" w:color="auto"/>
        <w:bottom w:val="none" w:sz="0" w:space="0" w:color="auto"/>
        <w:right w:val="none" w:sz="0" w:space="0" w:color="auto"/>
      </w:divBdr>
    </w:div>
    <w:div w:id="944114642">
      <w:bodyDiv w:val="1"/>
      <w:marLeft w:val="0"/>
      <w:marRight w:val="0"/>
      <w:marTop w:val="0"/>
      <w:marBottom w:val="0"/>
      <w:divBdr>
        <w:top w:val="none" w:sz="0" w:space="0" w:color="auto"/>
        <w:left w:val="none" w:sz="0" w:space="0" w:color="auto"/>
        <w:bottom w:val="none" w:sz="0" w:space="0" w:color="auto"/>
        <w:right w:val="none" w:sz="0" w:space="0" w:color="auto"/>
      </w:divBdr>
    </w:div>
    <w:div w:id="1418399419">
      <w:bodyDiv w:val="1"/>
      <w:marLeft w:val="0"/>
      <w:marRight w:val="0"/>
      <w:marTop w:val="0"/>
      <w:marBottom w:val="0"/>
      <w:divBdr>
        <w:top w:val="none" w:sz="0" w:space="0" w:color="auto"/>
        <w:left w:val="none" w:sz="0" w:space="0" w:color="auto"/>
        <w:bottom w:val="none" w:sz="0" w:space="0" w:color="auto"/>
        <w:right w:val="none" w:sz="0" w:space="0" w:color="auto"/>
      </w:divBdr>
    </w:div>
    <w:div w:id="1618217790">
      <w:bodyDiv w:val="1"/>
      <w:marLeft w:val="0"/>
      <w:marRight w:val="0"/>
      <w:marTop w:val="0"/>
      <w:marBottom w:val="0"/>
      <w:divBdr>
        <w:top w:val="none" w:sz="0" w:space="0" w:color="auto"/>
        <w:left w:val="none" w:sz="0" w:space="0" w:color="auto"/>
        <w:bottom w:val="none" w:sz="0" w:space="0" w:color="auto"/>
        <w:right w:val="none" w:sz="0" w:space="0" w:color="auto"/>
      </w:divBdr>
    </w:div>
    <w:div w:id="1667902032">
      <w:bodyDiv w:val="1"/>
      <w:marLeft w:val="0"/>
      <w:marRight w:val="0"/>
      <w:marTop w:val="0"/>
      <w:marBottom w:val="0"/>
      <w:divBdr>
        <w:top w:val="none" w:sz="0" w:space="0" w:color="auto"/>
        <w:left w:val="none" w:sz="0" w:space="0" w:color="auto"/>
        <w:bottom w:val="none" w:sz="0" w:space="0" w:color="auto"/>
        <w:right w:val="none" w:sz="0" w:space="0" w:color="auto"/>
      </w:divBdr>
    </w:div>
    <w:div w:id="1690526361">
      <w:bodyDiv w:val="1"/>
      <w:marLeft w:val="0"/>
      <w:marRight w:val="0"/>
      <w:marTop w:val="0"/>
      <w:marBottom w:val="0"/>
      <w:divBdr>
        <w:top w:val="none" w:sz="0" w:space="0" w:color="auto"/>
        <w:left w:val="none" w:sz="0" w:space="0" w:color="auto"/>
        <w:bottom w:val="none" w:sz="0" w:space="0" w:color="auto"/>
        <w:right w:val="none" w:sz="0" w:space="0" w:color="auto"/>
      </w:divBdr>
    </w:div>
    <w:div w:id="1745028064">
      <w:bodyDiv w:val="1"/>
      <w:marLeft w:val="0"/>
      <w:marRight w:val="0"/>
      <w:marTop w:val="0"/>
      <w:marBottom w:val="0"/>
      <w:divBdr>
        <w:top w:val="none" w:sz="0" w:space="0" w:color="auto"/>
        <w:left w:val="none" w:sz="0" w:space="0" w:color="auto"/>
        <w:bottom w:val="none" w:sz="0" w:space="0" w:color="auto"/>
        <w:right w:val="none" w:sz="0" w:space="0" w:color="auto"/>
      </w:divBdr>
    </w:div>
    <w:div w:id="184929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Akyshia</dc:creator>
  <cp:keywords/>
  <dc:description/>
  <cp:lastModifiedBy>Ross, Akyshia</cp:lastModifiedBy>
  <cp:revision>2</cp:revision>
  <dcterms:created xsi:type="dcterms:W3CDTF">2024-08-24T22:30:00Z</dcterms:created>
  <dcterms:modified xsi:type="dcterms:W3CDTF">2024-08-24T23:34:00Z</dcterms:modified>
</cp:coreProperties>
</file>