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6D43" w14:textId="2EE81EF1" w:rsidR="00B420BC" w:rsidRDefault="00B420BC" w:rsidP="00B420BC">
      <w:pPr>
        <w:pStyle w:val="Heading1"/>
      </w:pPr>
      <w:bookmarkStart w:id="0" w:name="_Toc176528737"/>
      <w:r>
        <w:t>Nutrition Services</w:t>
      </w:r>
    </w:p>
    <w:p w14:paraId="3D70B46D" w14:textId="3DF219BE" w:rsidR="00B420BC" w:rsidRDefault="00B420BC" w:rsidP="00B420BC">
      <w:pPr>
        <w:pStyle w:val="Caption"/>
        <w:rPr>
          <w:rFonts w:ascii="Aptos" w:eastAsia="Aptos" w:hAnsi="Aptos" w:cs="Aptos"/>
          <w:i w:val="0"/>
          <w:color w:val="0E2841"/>
          <w:sz w:val="24"/>
          <w:szCs w:val="24"/>
          <w:vertAlign w:val="superscript"/>
        </w:rPr>
      </w:pPr>
      <w:r w:rsidRPr="000F35C2">
        <w:t>Child, maternal, and adolescent nutrition services and the common constraints*</w:t>
      </w:r>
      <w:bookmarkEnd w:id="0"/>
    </w:p>
    <w:tbl>
      <w:tblPr>
        <w:tblW w:w="9000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718"/>
        <w:gridCol w:w="2142"/>
        <w:gridCol w:w="1710"/>
        <w:gridCol w:w="3430"/>
      </w:tblGrid>
      <w:tr w:rsidR="00B420BC" w14:paraId="0B8C0BC8" w14:textId="77777777" w:rsidTr="000965DA">
        <w:trPr>
          <w:trHeight w:val="690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27C67E9C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Child Nutrition Services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04F3E551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Target Population and Service Delivery Platform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1BB10236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Integration with Other Services</w:t>
            </w:r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70AE846A" w14:textId="77777777" w:rsidR="00B420BC" w:rsidRPr="00ED3B17" w:rsidRDefault="00B420BC" w:rsidP="000965DA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721ADC8D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42"/>
                <w:id w:val="-87611997"/>
              </w:sdtPr>
              <w:sdtContent/>
            </w:sdt>
            <w:r w:rsidRPr="00ED3B17">
              <w:rPr>
                <w:b/>
                <w:color w:val="000000" w:themeColor="text1"/>
                <w:sz w:val="20"/>
                <w:szCs w:val="20"/>
              </w:rPr>
              <w:t>Bottlenecks and Challenges</w:t>
            </w:r>
          </w:p>
        </w:tc>
      </w:tr>
      <w:tr w:rsidR="00B420BC" w14:paraId="02D06638" w14:textId="77777777" w:rsidTr="000965DA">
        <w:trPr>
          <w:trHeight w:val="690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tcMar>
              <w:top w:w="15" w:type="dxa"/>
              <w:left w:w="105" w:type="dxa"/>
              <w:right w:w="105" w:type="dxa"/>
            </w:tcMar>
          </w:tcPr>
          <w:p w14:paraId="16ACA331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Promotion of early initiation of breastfeeding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tcMar>
              <w:top w:w="15" w:type="dxa"/>
              <w:left w:w="105" w:type="dxa"/>
              <w:right w:w="105" w:type="dxa"/>
            </w:tcMar>
          </w:tcPr>
          <w:p w14:paraId="77FD56BB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Mothers of newborns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tcMar>
              <w:top w:w="15" w:type="dxa"/>
              <w:left w:w="105" w:type="dxa"/>
              <w:right w:w="105" w:type="dxa"/>
            </w:tcMar>
          </w:tcPr>
          <w:p w14:paraId="4CF52C29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Component of immediate postnatal care (PNC) services</w:t>
            </w:r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FFFFFF" w:themeFill="background1"/>
            <w:tcMar>
              <w:top w:w="15" w:type="dxa"/>
              <w:left w:w="105" w:type="dxa"/>
              <w:right w:w="105" w:type="dxa"/>
            </w:tcMar>
          </w:tcPr>
          <w:p w14:paraId="74ABEDD8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color w:val="000000" w:themeColor="text1"/>
                <w:sz w:val="20"/>
                <w:szCs w:val="20"/>
              </w:rPr>
              <w:t>Home delivery is still common</w:t>
            </w:r>
            <w:r w:rsidRPr="00ED3B17">
              <w:rPr>
                <w:rStyle w:val="FootnoteReference"/>
                <w:color w:val="000000" w:themeColor="text1"/>
                <w:sz w:val="20"/>
                <w:szCs w:val="20"/>
              </w:rPr>
              <w:footnoteReference w:id="1"/>
            </w:r>
            <w:r w:rsidRPr="00ED3B17">
              <w:rPr>
                <w:color w:val="000000" w:themeColor="text1"/>
                <w:sz w:val="20"/>
                <w:szCs w:val="20"/>
                <w:vertAlign w:val="superscript"/>
              </w:rPr>
              <w:t>,</w:t>
            </w:r>
            <w:r w:rsidRPr="00ED3B17">
              <w:rPr>
                <w:rStyle w:val="FootnoteReference"/>
                <w:color w:val="000000" w:themeColor="text1"/>
                <w:sz w:val="20"/>
                <w:szCs w:val="20"/>
              </w:rPr>
              <w:footnoteReference w:id="2"/>
            </w:r>
            <w:r w:rsidRPr="00ED3B17">
              <w:rPr>
                <w:color w:val="000000" w:themeColor="text1"/>
                <w:sz w:val="20"/>
                <w:szCs w:val="20"/>
                <w:vertAlign w:val="superscript"/>
              </w:rPr>
              <w:t>,</w:t>
            </w:r>
            <w:r w:rsidRPr="00ED3B17">
              <w:rPr>
                <w:rStyle w:val="FootnoteReference"/>
                <w:color w:val="000000" w:themeColor="text1"/>
                <w:sz w:val="20"/>
                <w:szCs w:val="20"/>
              </w:rPr>
              <w:footnoteReference w:id="3"/>
            </w:r>
            <w:r w:rsidRPr="00ED3B17">
              <w:rPr>
                <w:color w:val="000000" w:themeColor="text1"/>
                <w:sz w:val="20"/>
                <w:szCs w:val="20"/>
              </w:rPr>
              <w:t xml:space="preserve">, and misconception is </w:t>
            </w:r>
            <w:sdt>
              <w:sdtPr>
                <w:rPr>
                  <w:sz w:val="20"/>
                  <w:szCs w:val="20"/>
                </w:rPr>
                <w:tag w:val="goog_rdk_143"/>
                <w:id w:val="229038190"/>
              </w:sdtPr>
              <w:sdtContent/>
            </w:sdt>
            <w:r w:rsidRPr="00ED3B17">
              <w:rPr>
                <w:color w:val="000000" w:themeColor="text1"/>
                <w:sz w:val="20"/>
                <w:szCs w:val="20"/>
              </w:rPr>
              <w:t>high with pre-lacteal feeds still a common practice</w:t>
            </w:r>
          </w:p>
        </w:tc>
      </w:tr>
      <w:tr w:rsidR="00B420BC" w14:paraId="63BF7619" w14:textId="77777777" w:rsidTr="000965DA">
        <w:trPr>
          <w:trHeight w:val="1605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0FEE1171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 xml:space="preserve">GMP </w:t>
            </w:r>
            <w:r w:rsidRPr="00ED3B17">
              <w:rPr>
                <w:color w:val="000000"/>
                <w:sz w:val="20"/>
                <w:szCs w:val="20"/>
              </w:rPr>
              <w:t>f</w:t>
            </w:r>
            <w:r w:rsidRPr="00ED3B17">
              <w:rPr>
                <w:sz w:val="20"/>
                <w:szCs w:val="20"/>
              </w:rPr>
              <w:t>or children under two</w:t>
            </w:r>
          </w:p>
          <w:p w14:paraId="3B1FDE24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(MOH flagship program)</w:t>
            </w:r>
          </w:p>
          <w:p w14:paraId="5099DD80" w14:textId="77777777" w:rsidR="00B420BC" w:rsidRPr="00ED3B17" w:rsidRDefault="00B420BC" w:rsidP="000965D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9D349D9" w14:textId="77777777" w:rsidR="00B420BC" w:rsidRPr="00ED3B17" w:rsidRDefault="00B420BC" w:rsidP="000965D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Children under two, delivered monthly, mainly by HEWs at health post (HP) level and with outreach and HH visits. A version of “well baby clinic” is being explored.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79C4D535" w14:textId="77777777" w:rsidR="00B420BC" w:rsidRPr="00ED3B17" w:rsidRDefault="00B420BC" w:rsidP="000965D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None in practice</w:t>
            </w:r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0F34481F" w14:textId="77777777" w:rsidR="00B420BC" w:rsidRPr="00ED3B17" w:rsidRDefault="00B420BC" w:rsidP="000965D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D3B17">
              <w:rPr>
                <w:color w:val="000000" w:themeColor="text1"/>
                <w:sz w:val="20"/>
                <w:szCs w:val="20"/>
              </w:rPr>
              <w:t>Low coverage (participation rate), feasibility issues with the HEW workload, data credibility issue challenging monitoring efforts. Weak implementation of the “P” in “GMP” (promotion during GMP</w:t>
            </w:r>
            <w:r w:rsidRPr="00ED3B17">
              <w:rPr>
                <w:rStyle w:val="FootnoteReference"/>
                <w:color w:val="000000" w:themeColor="text1"/>
                <w:sz w:val="20"/>
                <w:szCs w:val="20"/>
              </w:rPr>
              <w:footnoteReference w:id="4"/>
            </w:r>
            <w:r w:rsidRPr="00ED3B17">
              <w:rPr>
                <w:color w:val="000000" w:themeColor="text1"/>
                <w:sz w:val="20"/>
                <w:szCs w:val="20"/>
              </w:rPr>
              <w:t xml:space="preserve">) </w:t>
            </w:r>
          </w:p>
        </w:tc>
      </w:tr>
      <w:tr w:rsidR="00B420BC" w14:paraId="2CEDD344" w14:textId="77777777" w:rsidTr="000965DA">
        <w:trPr>
          <w:trHeight w:val="450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432276B2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sz w:val="20"/>
                <w:szCs w:val="20"/>
              </w:rPr>
              <w:t>Infant and young child feeding (IYCF) counseling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C306DCC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The first 1,000 days families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08F0EA81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Provided standalone or as a component of GMP</w:t>
            </w:r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D60FD9B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Reach is low, difficult to monitor coverage and quality; access to diversified foods, gender issues, and dietary practices/culture are limiting effectiveness</w:t>
            </w:r>
            <w:r w:rsidRPr="00ED3B17">
              <w:rPr>
                <w:rStyle w:val="FootnoteReference"/>
                <w:sz w:val="20"/>
                <w:szCs w:val="20"/>
              </w:rPr>
              <w:footnoteReference w:id="5"/>
            </w:r>
          </w:p>
        </w:tc>
      </w:tr>
      <w:tr w:rsidR="00B420BC" w14:paraId="5A1F207C" w14:textId="77777777" w:rsidTr="000965DA">
        <w:trPr>
          <w:trHeight w:val="570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ACE94C5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sz w:val="20"/>
                <w:szCs w:val="20"/>
              </w:rPr>
              <w:t>Child feeding cooking demonstration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222E24D5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Irregular schedule, done at HP and outreach setups mainly by HEWs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5F47BBFF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None</w:t>
            </w:r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5E03FD73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Feasibility, monitoring is difficult (not tracked in the health management information system [HMIS])</w:t>
            </w:r>
          </w:p>
        </w:tc>
      </w:tr>
      <w:tr w:rsidR="00B420BC" w14:paraId="7F4240E0" w14:textId="77777777" w:rsidTr="000965DA">
        <w:trPr>
          <w:trHeight w:val="795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772E0A9D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sz w:val="20"/>
                <w:szCs w:val="20"/>
              </w:rPr>
              <w:t>Mid-upper arm circumference (MUAC) screening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C5A1382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Children under 5, active case finding mainly at HP level. Family MUAC approach being tested.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66AB4069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None in practice (except in some campaigns)</w:t>
            </w:r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52D2E259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Low coverage</w:t>
            </w:r>
            <w:r w:rsidRPr="00ED3B17">
              <w:rPr>
                <w:rFonts w:eastAsia="Aptos"/>
                <w:sz w:val="20"/>
                <w:szCs w:val="20"/>
                <w:vertAlign w:val="superscript"/>
              </w:rPr>
              <w:t xml:space="preserve"> 7</w:t>
            </w:r>
            <w:r w:rsidRPr="00ED3B17">
              <w:rPr>
                <w:sz w:val="20"/>
                <w:szCs w:val="20"/>
              </w:rPr>
              <w:t xml:space="preserve"> is affecting effective coverage of wasting management (a gateway), feasibility issues with the HEW workload.</w:t>
            </w:r>
          </w:p>
        </w:tc>
      </w:tr>
      <w:tr w:rsidR="00B420BC" w14:paraId="6730E77C" w14:textId="77777777" w:rsidTr="000965DA">
        <w:trPr>
          <w:trHeight w:val="595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2BBFDBB2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sz w:val="20"/>
                <w:szCs w:val="20"/>
              </w:rPr>
              <w:t>Management of severe acute malnutrition (SAM), outpatient therapeutic program (OTP)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7A5BFB20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Under 5, in HPs and health center (HCs) (but mainly by HEWs)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5BDF50F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 xml:space="preserve">Well integrated with </w:t>
            </w:r>
            <w:proofErr w:type="spellStart"/>
            <w:r w:rsidRPr="00ED3B17">
              <w:rPr>
                <w:sz w:val="20"/>
                <w:szCs w:val="20"/>
              </w:rPr>
              <w:t>iCCM</w:t>
            </w:r>
            <w:proofErr w:type="spellEnd"/>
            <w:r w:rsidRPr="00ED3B17">
              <w:rPr>
                <w:sz w:val="20"/>
                <w:szCs w:val="20"/>
              </w:rPr>
              <w:t>/</w:t>
            </w:r>
            <w:proofErr w:type="spellStart"/>
            <w:r w:rsidRPr="00ED3B17">
              <w:rPr>
                <w:sz w:val="20"/>
                <w:szCs w:val="20"/>
              </w:rPr>
              <w:t>iCMNC</w:t>
            </w:r>
            <w:proofErr w:type="spellEnd"/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536F12CB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Service interruption is common. Misuse of ready-to-use therapeutic food (RUTF) is increasing. It is donor dependent</w:t>
            </w:r>
            <w:r>
              <w:rPr>
                <w:sz w:val="20"/>
                <w:szCs w:val="20"/>
              </w:rPr>
              <w:t>, h</w:t>
            </w:r>
            <w:r w:rsidRPr="00ED3B17">
              <w:rPr>
                <w:sz w:val="20"/>
                <w:szCs w:val="20"/>
              </w:rPr>
              <w:t>as a parallel supply distribution</w:t>
            </w:r>
            <w:r>
              <w:rPr>
                <w:sz w:val="20"/>
                <w:szCs w:val="20"/>
              </w:rPr>
              <w:t xml:space="preserve">, has </w:t>
            </w:r>
            <w:r w:rsidRPr="00ED3B17">
              <w:rPr>
                <w:sz w:val="20"/>
                <w:szCs w:val="20"/>
              </w:rPr>
              <w:t xml:space="preserve">relatively new national guidelines which </w:t>
            </w:r>
            <w:r>
              <w:rPr>
                <w:sz w:val="20"/>
                <w:szCs w:val="20"/>
              </w:rPr>
              <w:t>are</w:t>
            </w:r>
            <w:r w:rsidRPr="00ED3B17">
              <w:rPr>
                <w:sz w:val="20"/>
                <w:szCs w:val="20"/>
              </w:rPr>
              <w:t xml:space="preserve"> not fully </w:t>
            </w:r>
            <w:r w:rsidRPr="00ED3B17">
              <w:rPr>
                <w:sz w:val="20"/>
                <w:szCs w:val="20"/>
              </w:rPr>
              <w:lastRenderedPageBreak/>
              <w:t>implemented; gaps in quality (needs specific skills) and scale-up</w:t>
            </w:r>
            <w:r w:rsidRPr="00ED3B17">
              <w:rPr>
                <w:rStyle w:val="FootnoteReference"/>
                <w:sz w:val="20"/>
                <w:szCs w:val="20"/>
              </w:rPr>
              <w:footnoteReference w:id="6"/>
            </w:r>
          </w:p>
        </w:tc>
      </w:tr>
      <w:tr w:rsidR="00B420BC" w14:paraId="235FAA07" w14:textId="77777777" w:rsidTr="000965DA">
        <w:trPr>
          <w:trHeight w:val="1020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5A2D75E8" w14:textId="77777777" w:rsidR="00B420BC" w:rsidRPr="00ED3B17" w:rsidRDefault="00B420BC" w:rsidP="000965D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D3B17">
              <w:rPr>
                <w:b/>
                <w:sz w:val="20"/>
                <w:szCs w:val="20"/>
              </w:rPr>
              <w:lastRenderedPageBreak/>
              <w:t>Inpatient Management of SAM, stabilization centers (SCs)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D113AC5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Under 5, SCs in HCs and hospitals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9086A37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NA (provided in separate rooms with its own protocol)</w:t>
            </w:r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2DF80DF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Relatively new guidelines not fully implemented, quality gaps common, and need for more scale-up</w:t>
            </w:r>
            <w:r w:rsidRPr="00ED3B17">
              <w:rPr>
                <w:rFonts w:eastAsia="Aptos"/>
                <w:sz w:val="20"/>
                <w:szCs w:val="20"/>
                <w:vertAlign w:val="superscript"/>
              </w:rPr>
              <w:t xml:space="preserve"> 8</w:t>
            </w:r>
          </w:p>
        </w:tc>
      </w:tr>
      <w:tr w:rsidR="00B420BC" w14:paraId="58BFBA51" w14:textId="77777777" w:rsidTr="000965DA">
        <w:trPr>
          <w:trHeight w:val="795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280A9F2B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b/>
                <w:sz w:val="20"/>
                <w:szCs w:val="20"/>
              </w:rPr>
              <w:t>Management of acute malnutrition (MAM)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A88F92E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Under 5 and pregnant and lactating women (PLW), HPs in selected woredas, mainly by HEWs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3CC3B45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Integrated management of acute malnutrition (IMAM) (integration in progress)</w:t>
            </w:r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D0A8C93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Coverage is low, potential conflicting guidance with the ongoing IMAM pilot and new (high-risk/low risk) MAM approach is being introduced</w:t>
            </w:r>
            <w:r>
              <w:rPr>
                <w:sz w:val="20"/>
                <w:szCs w:val="20"/>
              </w:rPr>
              <w:t>.</w:t>
            </w:r>
            <w:r w:rsidRPr="00ED3B17">
              <w:rPr>
                <w:rStyle w:val="FootnoteReference"/>
                <w:sz w:val="20"/>
                <w:szCs w:val="20"/>
              </w:rPr>
              <w:footnoteReference w:id="7"/>
            </w:r>
            <w:r w:rsidRPr="00ED3B17">
              <w:rPr>
                <w:sz w:val="20"/>
                <w:szCs w:val="20"/>
              </w:rPr>
              <w:t xml:space="preserve"> </w:t>
            </w:r>
          </w:p>
        </w:tc>
      </w:tr>
      <w:tr w:rsidR="00B420BC" w14:paraId="2C677E0E" w14:textId="77777777" w:rsidTr="000965DA">
        <w:trPr>
          <w:trHeight w:val="1200"/>
        </w:trPr>
        <w:tc>
          <w:tcPr>
            <w:tcW w:w="171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4E5BAA3D" w14:textId="77777777" w:rsidR="00B420BC" w:rsidRPr="00ED3B17" w:rsidRDefault="00B420BC" w:rsidP="000965D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D3B17">
              <w:rPr>
                <w:b/>
                <w:sz w:val="20"/>
                <w:szCs w:val="20"/>
              </w:rPr>
              <w:t xml:space="preserve">Vitamin A supplementation (VAS) and deworming </w:t>
            </w:r>
          </w:p>
        </w:tc>
        <w:tc>
          <w:tcPr>
            <w:tcW w:w="214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2D9EC6D2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VAS for 6–59 months and deworming for 12–59 months, done every 6 months. Delivered in HPs/outreach/HHs, mainly by HEWs</w:t>
            </w:r>
          </w:p>
        </w:tc>
        <w:tc>
          <w:tcPr>
            <w:tcW w:w="171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F3E25E7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None in practice (except in some campaigns)</w:t>
            </w:r>
          </w:p>
        </w:tc>
        <w:tc>
          <w:tcPr>
            <w:tcW w:w="34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4E40F0EC" w14:textId="77777777" w:rsidR="00B420BC" w:rsidRPr="00ED3B17" w:rsidRDefault="00B420BC" w:rsidP="000965DA">
            <w:pPr>
              <w:spacing w:after="0" w:line="240" w:lineRule="auto"/>
              <w:rPr>
                <w:sz w:val="20"/>
                <w:szCs w:val="20"/>
              </w:rPr>
            </w:pPr>
            <w:r w:rsidRPr="00ED3B17">
              <w:rPr>
                <w:sz w:val="20"/>
                <w:szCs w:val="20"/>
              </w:rPr>
              <w:t>Coverage, feasibility issues (difficult for HEWs to track and difficult for mothers to remember next dates</w:t>
            </w:r>
            <w:r w:rsidRPr="00ED3B17">
              <w:rPr>
                <w:rStyle w:val="FootnoteReference"/>
                <w:sz w:val="20"/>
                <w:szCs w:val="20"/>
              </w:rPr>
              <w:footnoteReference w:id="8"/>
            </w:r>
            <w:r w:rsidRPr="00ED3B17">
              <w:rPr>
                <w:sz w:val="20"/>
                <w:szCs w:val="20"/>
                <w:vertAlign w:val="superscript"/>
              </w:rPr>
              <w:t>,</w:t>
            </w:r>
            <w:r w:rsidRPr="00ED3B17">
              <w:rPr>
                <w:rStyle w:val="FootnoteReference"/>
                <w:sz w:val="20"/>
                <w:szCs w:val="20"/>
              </w:rPr>
              <w:footnoteReference w:id="9"/>
            </w:r>
            <w:r w:rsidRPr="00ED3B17">
              <w:rPr>
                <w:sz w:val="20"/>
                <w:szCs w:val="20"/>
              </w:rPr>
              <w:t>; some woredas starting semiannual deworming for children at 1 year old</w:t>
            </w:r>
            <w:r>
              <w:rPr>
                <w:sz w:val="20"/>
                <w:szCs w:val="20"/>
              </w:rPr>
              <w:t>.</w:t>
            </w:r>
            <w:r w:rsidRPr="00ED3B17">
              <w:rPr>
                <w:sz w:val="20"/>
                <w:szCs w:val="20"/>
              </w:rPr>
              <w:t xml:space="preserve"> </w:t>
            </w:r>
          </w:p>
        </w:tc>
      </w:tr>
    </w:tbl>
    <w:p w14:paraId="195B9D47" w14:textId="77777777" w:rsidR="00B420BC" w:rsidRDefault="00B420BC" w:rsidP="00B420BC">
      <w:pPr>
        <w:spacing w:line="276" w:lineRule="auto"/>
        <w:rPr>
          <w:rFonts w:ascii="Aptos" w:eastAsia="Aptos" w:hAnsi="Aptos" w:cs="Aptos"/>
          <w:sz w:val="18"/>
          <w:szCs w:val="18"/>
        </w:rPr>
      </w:pPr>
      <w:r>
        <w:rPr>
          <w:rFonts w:ascii="Aptos" w:eastAsia="Aptos" w:hAnsi="Aptos" w:cs="Aptos"/>
          <w:i/>
          <w:sz w:val="28"/>
          <w:szCs w:val="28"/>
          <w:vertAlign w:val="superscript"/>
        </w:rPr>
        <w:t>*</w:t>
      </w:r>
      <w:r>
        <w:rPr>
          <w:rFonts w:ascii="Aptos" w:eastAsia="Aptos" w:hAnsi="Aptos" w:cs="Aptos"/>
          <w:i/>
          <w:sz w:val="18"/>
          <w:szCs w:val="18"/>
        </w:rPr>
        <w:t>Source:</w:t>
      </w:r>
      <w:r>
        <w:rPr>
          <w:rFonts w:ascii="Aptos" w:eastAsia="Aptos" w:hAnsi="Aptos" w:cs="Aptos"/>
          <w:sz w:val="18"/>
          <w:szCs w:val="18"/>
        </w:rPr>
        <w:t xml:space="preserve"> </w:t>
      </w:r>
      <w:sdt>
        <w:sdtPr>
          <w:tag w:val="goog_rdk_144"/>
          <w:id w:val="944581729"/>
        </w:sdtPr>
        <w:sdtContent/>
      </w:sdt>
      <w:r>
        <w:rPr>
          <w:rFonts w:ascii="Aptos" w:eastAsia="Aptos" w:hAnsi="Aptos" w:cs="Aptos"/>
          <w:sz w:val="18"/>
          <w:szCs w:val="18"/>
        </w:rPr>
        <w:t>Triangulated from routine program data, surveys, and staff observation and experience</w:t>
      </w:r>
    </w:p>
    <w:p w14:paraId="6AAD7D7D" w14:textId="77777777" w:rsidR="00B420BC" w:rsidRDefault="00B420BC" w:rsidP="00B420BC">
      <w:pPr>
        <w:pStyle w:val="Caption"/>
        <w:rPr>
          <w:rFonts w:ascii="Aptos" w:eastAsia="Aptos" w:hAnsi="Aptos" w:cs="Aptos"/>
          <w:i w:val="0"/>
          <w:color w:val="0E2841"/>
        </w:rPr>
      </w:pPr>
      <w:bookmarkStart w:id="1" w:name="_Toc1765287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</w:t>
      </w:r>
      <w:r w:rsidRPr="00AD7948">
        <w:t>Maternal nutrition services and their constraints*</w:t>
      </w:r>
      <w:bookmarkEnd w:id="1"/>
    </w:p>
    <w:tbl>
      <w:tblPr>
        <w:tblW w:w="9000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700"/>
        <w:gridCol w:w="1260"/>
        <w:gridCol w:w="1890"/>
        <w:gridCol w:w="4150"/>
      </w:tblGrid>
      <w:tr w:rsidR="00B420BC" w14:paraId="76721B17" w14:textId="77777777" w:rsidTr="000965DA">
        <w:trPr>
          <w:trHeight w:val="615"/>
        </w:trPr>
        <w:tc>
          <w:tcPr>
            <w:tcW w:w="17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1CB4164E" w14:textId="77777777" w:rsidR="00B420BC" w:rsidRPr="00ED3B17" w:rsidRDefault="00B420BC" w:rsidP="000965DA">
            <w:pPr>
              <w:spacing w:after="0"/>
              <w:jc w:val="center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 xml:space="preserve"> Maternal Nutrition Services </w:t>
            </w:r>
          </w:p>
        </w:tc>
        <w:tc>
          <w:tcPr>
            <w:tcW w:w="126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43C86569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Target and Platform</w:t>
            </w:r>
          </w:p>
        </w:tc>
        <w:tc>
          <w:tcPr>
            <w:tcW w:w="189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79E73406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Integration with Other Services</w:t>
            </w:r>
          </w:p>
        </w:tc>
        <w:tc>
          <w:tcPr>
            <w:tcW w:w="41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35C3C3F0" w14:textId="77777777" w:rsidR="00B420BC" w:rsidRPr="00ED3B17" w:rsidRDefault="00B420BC" w:rsidP="000965DA">
            <w:pPr>
              <w:spacing w:after="0"/>
              <w:rPr>
                <w:b/>
                <w:color w:val="000000"/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3240AE79" w14:textId="77777777" w:rsidR="00B420BC" w:rsidRPr="00ED3B17" w:rsidRDefault="00B420BC" w:rsidP="000965DA">
            <w:pPr>
              <w:spacing w:after="0"/>
              <w:jc w:val="center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Bottlenecks/Challenges</w:t>
            </w:r>
          </w:p>
        </w:tc>
      </w:tr>
      <w:tr w:rsidR="00B420BC" w14:paraId="5890FE6A" w14:textId="77777777" w:rsidTr="000965DA">
        <w:trPr>
          <w:trHeight w:val="660"/>
        </w:trPr>
        <w:tc>
          <w:tcPr>
            <w:tcW w:w="17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  <w:vAlign w:val="center"/>
          </w:tcPr>
          <w:p w14:paraId="128637F8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Nutrition assessment and counseling for pregnant women</w:t>
            </w:r>
          </w:p>
        </w:tc>
        <w:tc>
          <w:tcPr>
            <w:tcW w:w="126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421DED40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PLW: ANC, PNC, PWC in HPs, HCs, hospitals</w:t>
            </w:r>
          </w:p>
        </w:tc>
        <w:tc>
          <w:tcPr>
            <w:tcW w:w="189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1238705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Integrated in ANC, PNC, PWC</w:t>
            </w:r>
          </w:p>
        </w:tc>
        <w:tc>
          <w:tcPr>
            <w:tcW w:w="41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AFF8B55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 w:themeColor="text1"/>
                <w:sz w:val="20"/>
                <w:szCs w:val="20"/>
              </w:rPr>
              <w:t>ANC and PNC coverage and quality of service is low; nutrition counseling is often overlooked</w:t>
            </w:r>
            <w:r>
              <w:rPr>
                <w:color w:val="000000" w:themeColor="text1"/>
                <w:sz w:val="20"/>
                <w:szCs w:val="20"/>
              </w:rPr>
              <w:t xml:space="preserve"> and</w:t>
            </w:r>
            <w:r w:rsidRPr="00ED3B17">
              <w:rPr>
                <w:color w:val="000000" w:themeColor="text1"/>
                <w:sz w:val="20"/>
                <w:szCs w:val="20"/>
              </w:rPr>
              <w:t xml:space="preserve"> is difficult to monitor; </w:t>
            </w:r>
            <w:r w:rsidRPr="00ED3B17">
              <w:rPr>
                <w:sz w:val="20"/>
                <w:szCs w:val="20"/>
              </w:rPr>
              <w:t>access to diversified foods, gender issues, dietary practices/culture are limiting effectiveness</w:t>
            </w:r>
            <w:r>
              <w:rPr>
                <w:sz w:val="20"/>
                <w:szCs w:val="20"/>
              </w:rPr>
              <w:t>.</w:t>
            </w:r>
          </w:p>
        </w:tc>
      </w:tr>
      <w:tr w:rsidR="00B420BC" w14:paraId="6E74E871" w14:textId="77777777" w:rsidTr="000965DA">
        <w:trPr>
          <w:trHeight w:val="540"/>
        </w:trPr>
        <w:tc>
          <w:tcPr>
            <w:tcW w:w="17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  <w:vAlign w:val="center"/>
          </w:tcPr>
          <w:p w14:paraId="4D7D0DBC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 xml:space="preserve">Deworming during pregnancy </w:t>
            </w:r>
          </w:p>
        </w:tc>
        <w:tc>
          <w:tcPr>
            <w:tcW w:w="126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5184CE58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Pregnant women 2nd trimester</w:t>
            </w:r>
          </w:p>
        </w:tc>
        <w:tc>
          <w:tcPr>
            <w:tcW w:w="189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6EECF922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ANC (HPs, HCs, hospitals)</w:t>
            </w:r>
          </w:p>
        </w:tc>
        <w:tc>
          <w:tcPr>
            <w:tcW w:w="41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41E6E29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 w:themeColor="text1"/>
                <w:sz w:val="20"/>
                <w:szCs w:val="20"/>
              </w:rPr>
              <w:t>Relatively new,</w:t>
            </w:r>
            <w:r w:rsidRPr="00ED3B17">
              <w:rPr>
                <w:rStyle w:val="FootnoteReference"/>
                <w:color w:val="000000" w:themeColor="text1"/>
                <w:sz w:val="20"/>
                <w:szCs w:val="20"/>
              </w:rPr>
              <w:footnoteReference w:id="10"/>
            </w:r>
            <w:r w:rsidRPr="00ED3B17">
              <w:rPr>
                <w:color w:val="000000" w:themeColor="text1"/>
                <w:sz w:val="20"/>
                <w:szCs w:val="20"/>
              </w:rPr>
              <w:t xml:space="preserve"> coverage low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420BC" w14:paraId="3C3A5ACD" w14:textId="77777777" w:rsidTr="000965DA">
        <w:trPr>
          <w:trHeight w:val="615"/>
        </w:trPr>
        <w:tc>
          <w:tcPr>
            <w:tcW w:w="17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606372E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 xml:space="preserve">IFA supplementation </w:t>
            </w:r>
          </w:p>
        </w:tc>
        <w:tc>
          <w:tcPr>
            <w:tcW w:w="126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077FAA91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PLW</w:t>
            </w:r>
          </w:p>
        </w:tc>
        <w:tc>
          <w:tcPr>
            <w:tcW w:w="189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47BF41C2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ANC, PNC (HPs, HCs, hospitals)</w:t>
            </w:r>
          </w:p>
        </w:tc>
        <w:tc>
          <w:tcPr>
            <w:tcW w:w="41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0F4A9B74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 w:themeColor="text1"/>
                <w:sz w:val="20"/>
                <w:szCs w:val="20"/>
              </w:rPr>
              <w:t>Adherence, early pregnancy identification, and linkage to ANC low; low community- and HH-level counseling on IFA adherence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  <w:r w:rsidRPr="00ED3B17">
              <w:rPr>
                <w:rStyle w:val="FootnoteReference"/>
                <w:sz w:val="20"/>
                <w:szCs w:val="20"/>
              </w:rPr>
              <w:footnoteReference w:id="11"/>
            </w:r>
          </w:p>
        </w:tc>
      </w:tr>
      <w:tr w:rsidR="00B420BC" w14:paraId="7661C667" w14:textId="77777777" w:rsidTr="000965DA">
        <w:trPr>
          <w:trHeight w:val="780"/>
        </w:trPr>
        <w:tc>
          <w:tcPr>
            <w:tcW w:w="17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25BA4404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lastRenderedPageBreak/>
              <w:t>Folate supplementation</w:t>
            </w:r>
          </w:p>
        </w:tc>
        <w:tc>
          <w:tcPr>
            <w:tcW w:w="126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75D00340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Pre-pregnancy</w:t>
            </w:r>
          </w:p>
        </w:tc>
        <w:tc>
          <w:tcPr>
            <w:tcW w:w="189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48199820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Not scaled up</w:t>
            </w:r>
          </w:p>
        </w:tc>
        <w:tc>
          <w:tcPr>
            <w:tcW w:w="41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8EDD06E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sdt>
              <w:sdtPr>
                <w:tag w:val="goog_rdk_145"/>
                <w:id w:val="733201899"/>
              </w:sdtPr>
              <w:sdtContent/>
            </w:sdt>
            <w:r w:rsidRPr="00ED3B17">
              <w:rPr>
                <w:sz w:val="20"/>
                <w:szCs w:val="20"/>
              </w:rPr>
              <w:t xml:space="preserve">Folate deficiency and its impact are big and yet pre-pregnancy care </w:t>
            </w:r>
            <w:r>
              <w:rPr>
                <w:sz w:val="20"/>
                <w:szCs w:val="20"/>
              </w:rPr>
              <w:t xml:space="preserve">is </w:t>
            </w:r>
            <w:r w:rsidRPr="00ED3B17">
              <w:rPr>
                <w:sz w:val="20"/>
                <w:szCs w:val="20"/>
              </w:rPr>
              <w:t>generally poor</w:t>
            </w:r>
            <w:r>
              <w:rPr>
                <w:sz w:val="20"/>
                <w:szCs w:val="20"/>
              </w:rPr>
              <w:t>.</w:t>
            </w:r>
            <w:r w:rsidRPr="00ED3B17">
              <w:rPr>
                <w:rStyle w:val="FootnoteReference"/>
                <w:sz w:val="20"/>
                <w:szCs w:val="20"/>
              </w:rPr>
              <w:footnoteReference w:id="12"/>
            </w:r>
          </w:p>
        </w:tc>
      </w:tr>
      <w:tr w:rsidR="00B420BC" w14:paraId="1D030E32" w14:textId="77777777" w:rsidTr="000965DA">
        <w:trPr>
          <w:trHeight w:val="525"/>
        </w:trPr>
        <w:tc>
          <w:tcPr>
            <w:tcW w:w="17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20055156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Replacing IFA with MMS</w:t>
            </w:r>
          </w:p>
        </w:tc>
        <w:tc>
          <w:tcPr>
            <w:tcW w:w="126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070E03B9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 xml:space="preserve"> PLW</w:t>
            </w:r>
          </w:p>
        </w:tc>
        <w:tc>
          <w:tcPr>
            <w:tcW w:w="189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FB17B84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New integrated into ANC (HCs, hospitals) in pilot sites; not scaled up</w:t>
            </w:r>
          </w:p>
        </w:tc>
        <w:tc>
          <w:tcPr>
            <w:tcW w:w="41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6DC5058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 w:themeColor="text1"/>
                <w:sz w:val="20"/>
                <w:szCs w:val="20"/>
              </w:rPr>
              <w:t>Pilot testing in progress, promising results in some countries</w:t>
            </w:r>
            <w:r w:rsidRPr="00ED3B17">
              <w:rPr>
                <w:rStyle w:val="FootnoteReference"/>
                <w:color w:val="000000" w:themeColor="text1"/>
                <w:sz w:val="20"/>
                <w:szCs w:val="20"/>
              </w:rPr>
              <w:footnoteReference w:id="13"/>
            </w:r>
            <w:r w:rsidRPr="00ED3B17">
              <w:rPr>
                <w:color w:val="000000" w:themeColor="text1"/>
                <w:sz w:val="20"/>
                <w:szCs w:val="20"/>
              </w:rPr>
              <w:t>; more costly than IFA, posing a threat to its scalability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B420BC" w14:paraId="43F93B04" w14:textId="77777777" w:rsidTr="000965DA">
        <w:trPr>
          <w:trHeight w:val="240"/>
        </w:trPr>
        <w:tc>
          <w:tcPr>
            <w:tcW w:w="17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  <w:vAlign w:val="center"/>
          </w:tcPr>
          <w:p w14:paraId="19445FEB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b/>
                <w:color w:val="000000"/>
                <w:sz w:val="20"/>
                <w:szCs w:val="20"/>
              </w:rPr>
              <w:t>Calcium supplementation</w:t>
            </w:r>
          </w:p>
        </w:tc>
        <w:tc>
          <w:tcPr>
            <w:tcW w:w="126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6F208659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/>
                <w:sz w:val="20"/>
                <w:szCs w:val="20"/>
              </w:rPr>
              <w:t>Pregnant women</w:t>
            </w:r>
          </w:p>
        </w:tc>
        <w:tc>
          <w:tcPr>
            <w:tcW w:w="189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4DCEE537" w14:textId="77777777" w:rsidR="00B420BC" w:rsidRPr="00ED3B17" w:rsidRDefault="00B420BC" w:rsidP="000965DA">
            <w:pPr>
              <w:spacing w:after="0"/>
              <w:rPr>
                <w:sz w:val="20"/>
                <w:szCs w:val="20"/>
              </w:rPr>
            </w:pPr>
            <w:r w:rsidRPr="00ED3B17">
              <w:rPr>
                <w:color w:val="000000" w:themeColor="text1"/>
                <w:sz w:val="20"/>
                <w:szCs w:val="20"/>
              </w:rPr>
              <w:t>Tested in pilot sites, not scaled up</w:t>
            </w:r>
          </w:p>
        </w:tc>
        <w:tc>
          <w:tcPr>
            <w:tcW w:w="415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53C4394" w14:textId="77777777" w:rsidR="00B420BC" w:rsidRPr="00ED3B17" w:rsidRDefault="00B420BC" w:rsidP="000965DA">
            <w:pPr>
              <w:spacing w:after="0"/>
              <w:rPr>
                <w:color w:val="000000"/>
                <w:sz w:val="20"/>
                <w:szCs w:val="20"/>
              </w:rPr>
            </w:pPr>
            <w:r w:rsidRPr="00ED3B17">
              <w:rPr>
                <w:color w:val="000000" w:themeColor="text1"/>
                <w:sz w:val="20"/>
                <w:szCs w:val="20"/>
              </w:rPr>
              <w:t>Calcium deficiency is nearly universal, contributing to negative pregnancy outcome; not scalable (due to cost)</w:t>
            </w:r>
            <w:r w:rsidRPr="00ED3B17">
              <w:rPr>
                <w:rStyle w:val="FootnoteReference"/>
                <w:color w:val="000000" w:themeColor="text1"/>
                <w:sz w:val="20"/>
                <w:szCs w:val="20"/>
              </w:rPr>
              <w:footnoteReference w:id="14"/>
            </w:r>
            <w:r w:rsidRPr="00ED3B17">
              <w:rPr>
                <w:color w:val="000000" w:themeColor="text1"/>
                <w:sz w:val="20"/>
                <w:szCs w:val="20"/>
                <w:vertAlign w:val="superscript"/>
              </w:rPr>
              <w:t>,</w:t>
            </w:r>
            <w:r w:rsidRPr="00ED3B17">
              <w:rPr>
                <w:rStyle w:val="FootnoteReference"/>
                <w:color w:val="000000" w:themeColor="text1"/>
                <w:sz w:val="20"/>
                <w:szCs w:val="20"/>
              </w:rPr>
              <w:footnoteReference w:id="15"/>
            </w:r>
            <w:r w:rsidRPr="00ED3B17">
              <w:rPr>
                <w:color w:val="000000" w:themeColor="text1"/>
                <w:sz w:val="20"/>
                <w:szCs w:val="20"/>
              </w:rPr>
              <w:t xml:space="preserve"> and not part of MMS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B59CF69" w14:textId="77777777" w:rsidR="00B420BC" w:rsidRDefault="00B420BC" w:rsidP="00B420BC">
      <w:pPr>
        <w:spacing w:after="0" w:line="276" w:lineRule="auto"/>
        <w:rPr>
          <w:rFonts w:ascii="Aptos" w:eastAsia="Aptos" w:hAnsi="Aptos" w:cs="Aptos"/>
          <w:sz w:val="18"/>
          <w:szCs w:val="18"/>
        </w:rPr>
      </w:pPr>
      <w:r>
        <w:rPr>
          <w:rFonts w:ascii="Aptos" w:eastAsia="Aptos" w:hAnsi="Aptos" w:cs="Aptos"/>
          <w:i/>
          <w:sz w:val="28"/>
          <w:szCs w:val="28"/>
          <w:vertAlign w:val="superscript"/>
        </w:rPr>
        <w:t>*</w:t>
      </w:r>
      <w:r>
        <w:rPr>
          <w:rFonts w:ascii="Aptos" w:eastAsia="Aptos" w:hAnsi="Aptos" w:cs="Aptos"/>
          <w:i/>
          <w:sz w:val="18"/>
          <w:szCs w:val="18"/>
        </w:rPr>
        <w:t>Source:</w:t>
      </w:r>
      <w:r>
        <w:rPr>
          <w:rFonts w:ascii="Aptos" w:eastAsia="Aptos" w:hAnsi="Aptos" w:cs="Aptos"/>
          <w:sz w:val="18"/>
          <w:szCs w:val="18"/>
        </w:rPr>
        <w:t xml:space="preserve"> Triangulated from routine program data, surveys, and staff observation and experience</w:t>
      </w:r>
    </w:p>
    <w:p w14:paraId="4F76C982" w14:textId="77777777" w:rsidR="00B420BC" w:rsidRDefault="00B420BC" w:rsidP="00B420BC">
      <w:pPr>
        <w:spacing w:after="0" w:line="240" w:lineRule="auto"/>
        <w:rPr>
          <w:rFonts w:ascii="Aptos" w:eastAsia="Aptos" w:hAnsi="Aptos" w:cs="Aptos"/>
          <w:i/>
          <w:color w:val="0E2841"/>
          <w:sz w:val="18"/>
          <w:szCs w:val="18"/>
        </w:rPr>
      </w:pPr>
    </w:p>
    <w:p w14:paraId="1B1D5C51" w14:textId="77777777" w:rsidR="00B420BC" w:rsidRDefault="00B420BC" w:rsidP="00B420BC">
      <w:pPr>
        <w:pStyle w:val="Caption"/>
      </w:pPr>
      <w:bookmarkStart w:id="2" w:name="_Toc17652873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</w:t>
      </w:r>
      <w:r w:rsidRPr="00757DCE">
        <w:t xml:space="preserve">Adolescent </w:t>
      </w:r>
      <w:r>
        <w:t>n</w:t>
      </w:r>
      <w:r w:rsidRPr="00757DCE">
        <w:t xml:space="preserve">utrition </w:t>
      </w:r>
      <w:r>
        <w:t>s</w:t>
      </w:r>
      <w:r w:rsidRPr="00757DCE">
        <w:t>ervices and their common constraints</w:t>
      </w:r>
      <w:bookmarkEnd w:id="2"/>
    </w:p>
    <w:tbl>
      <w:tblPr>
        <w:tblW w:w="9001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600"/>
        <w:gridCol w:w="1620"/>
        <w:gridCol w:w="1530"/>
        <w:gridCol w:w="3251"/>
      </w:tblGrid>
      <w:tr w:rsidR="00B420BC" w14:paraId="6E222889" w14:textId="77777777" w:rsidTr="000965DA">
        <w:trPr>
          <w:trHeight w:val="721"/>
          <w:tblHeader/>
        </w:trPr>
        <w:tc>
          <w:tcPr>
            <w:tcW w:w="26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  <w:vAlign w:val="center"/>
          </w:tcPr>
          <w:p w14:paraId="506B4BF8" w14:textId="77777777" w:rsidR="00B420BC" w:rsidRDefault="00B420BC" w:rsidP="000965DA">
            <w:pPr>
              <w:spacing w:after="0"/>
              <w:jc w:val="center"/>
            </w:pPr>
            <w:r>
              <w:rPr>
                <w:b/>
                <w:color w:val="000000"/>
                <w:sz w:val="20"/>
                <w:szCs w:val="20"/>
              </w:rPr>
              <w:t xml:space="preserve"> Adolescent Nutrition Services</w:t>
            </w:r>
          </w:p>
        </w:tc>
        <w:tc>
          <w:tcPr>
            <w:tcW w:w="162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3F4E39F1" w14:textId="77777777" w:rsidR="00B420BC" w:rsidRDefault="00B420BC" w:rsidP="000965DA">
            <w:pPr>
              <w:spacing w:after="0"/>
            </w:pPr>
            <w:r>
              <w:rPr>
                <w:b/>
                <w:color w:val="000000"/>
                <w:sz w:val="20"/>
                <w:szCs w:val="20"/>
              </w:rPr>
              <w:t>Target and Platform</w:t>
            </w:r>
          </w:p>
        </w:tc>
        <w:tc>
          <w:tcPr>
            <w:tcW w:w="15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3711AC04" w14:textId="77777777" w:rsidR="00B420BC" w:rsidRDefault="00B420BC" w:rsidP="000965DA">
            <w:pPr>
              <w:spacing w:after="0"/>
            </w:pPr>
            <w:r>
              <w:rPr>
                <w:b/>
                <w:color w:val="000000"/>
                <w:sz w:val="20"/>
                <w:szCs w:val="20"/>
              </w:rPr>
              <w:t>Integration with Other Services</w:t>
            </w:r>
          </w:p>
        </w:tc>
        <w:tc>
          <w:tcPr>
            <w:tcW w:w="325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E6F0FA"/>
            <w:tcMar>
              <w:top w:w="15" w:type="dxa"/>
              <w:left w:w="105" w:type="dxa"/>
              <w:right w:w="105" w:type="dxa"/>
            </w:tcMar>
          </w:tcPr>
          <w:p w14:paraId="3C00EAA6" w14:textId="77777777" w:rsidR="00B420BC" w:rsidRDefault="00B420BC" w:rsidP="000965DA">
            <w:pPr>
              <w:spacing w:after="0"/>
            </w:pP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0A36A9F1" w14:textId="77777777" w:rsidR="00B420BC" w:rsidRDefault="00B420BC" w:rsidP="000965DA">
            <w:pPr>
              <w:spacing w:after="0"/>
              <w:jc w:val="center"/>
            </w:pPr>
            <w:r>
              <w:rPr>
                <w:b/>
                <w:color w:val="000000"/>
                <w:sz w:val="20"/>
                <w:szCs w:val="20"/>
              </w:rPr>
              <w:t>Bottlenecks/Challenges</w:t>
            </w:r>
          </w:p>
        </w:tc>
      </w:tr>
      <w:tr w:rsidR="00B420BC" w14:paraId="112E727A" w14:textId="77777777" w:rsidTr="000965DA">
        <w:trPr>
          <w:trHeight w:val="375"/>
          <w:tblHeader/>
        </w:trPr>
        <w:tc>
          <w:tcPr>
            <w:tcW w:w="26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  <w:vAlign w:val="center"/>
          </w:tcPr>
          <w:p w14:paraId="2F7A137F" w14:textId="77777777" w:rsidR="00B420BC" w:rsidRDefault="00B420BC" w:rsidP="000965DA">
            <w:pPr>
              <w:spacing w:after="0"/>
            </w:pPr>
            <w:r>
              <w:rPr>
                <w:b/>
                <w:sz w:val="20"/>
                <w:szCs w:val="20"/>
              </w:rPr>
              <w:t xml:space="preserve">Weekly iron-folate supplementation </w:t>
            </w:r>
          </w:p>
        </w:tc>
        <w:tc>
          <w:tcPr>
            <w:tcW w:w="162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794AAF32" w14:textId="77777777" w:rsidR="00B420BC" w:rsidRDefault="00B420BC" w:rsidP="000965DA">
            <w:pPr>
              <w:spacing w:after="0"/>
            </w:pPr>
            <w:r>
              <w:rPr>
                <w:sz w:val="20"/>
                <w:szCs w:val="20"/>
              </w:rPr>
              <w:t>Girls, in health facilities and schools</w:t>
            </w:r>
          </w:p>
        </w:tc>
        <w:tc>
          <w:tcPr>
            <w:tcW w:w="15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41301CFB" w14:textId="77777777" w:rsidR="00B420BC" w:rsidRDefault="00B420BC" w:rsidP="000965DA">
            <w:pPr>
              <w:spacing w:after="0"/>
            </w:pPr>
            <w:r>
              <w:rPr>
                <w:sz w:val="20"/>
                <w:szCs w:val="20"/>
              </w:rPr>
              <w:t>None as such</w:t>
            </w:r>
          </w:p>
        </w:tc>
        <w:tc>
          <w:tcPr>
            <w:tcW w:w="325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6DD4A0EC" w14:textId="77777777" w:rsidR="00B420BC" w:rsidRPr="00AB4468" w:rsidRDefault="00B420BC" w:rsidP="000965DA">
            <w:pPr>
              <w:spacing w:after="0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Implementation research finalized, being scaled up but coverage low</w:t>
            </w:r>
            <w:r w:rsidRPr="0B4F2CC7">
              <w:rPr>
                <w:rStyle w:val="FootnoteReference"/>
                <w:sz w:val="20"/>
                <w:szCs w:val="20"/>
              </w:rPr>
              <w:footnoteReference w:id="16"/>
            </w:r>
            <w:r>
              <w:rPr>
                <w:sz w:val="20"/>
                <w:szCs w:val="20"/>
                <w:vertAlign w:val="superscript"/>
              </w:rPr>
              <w:t xml:space="preserve">, </w:t>
            </w:r>
            <w:r>
              <w:rPr>
                <w:rStyle w:val="FootnoteReference"/>
                <w:sz w:val="20"/>
                <w:szCs w:val="20"/>
              </w:rPr>
              <w:footnoteReference w:id="17"/>
            </w:r>
          </w:p>
        </w:tc>
      </w:tr>
      <w:tr w:rsidR="00B420BC" w14:paraId="3B267E3F" w14:textId="77777777" w:rsidTr="000965DA">
        <w:trPr>
          <w:trHeight w:val="405"/>
          <w:tblHeader/>
        </w:trPr>
        <w:tc>
          <w:tcPr>
            <w:tcW w:w="26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  <w:vAlign w:val="center"/>
          </w:tcPr>
          <w:p w14:paraId="3DEA65CC" w14:textId="77777777" w:rsidR="00B420BC" w:rsidRDefault="00B420BC" w:rsidP="000965DA">
            <w:pPr>
              <w:spacing w:after="0"/>
            </w:pPr>
            <w:r>
              <w:rPr>
                <w:b/>
                <w:sz w:val="20"/>
                <w:szCs w:val="20"/>
              </w:rPr>
              <w:t xml:space="preserve">Nutritional assessment and </w:t>
            </w:r>
            <w:sdt>
              <w:sdtPr>
                <w:tag w:val="goog_rdk_146"/>
                <w:id w:val="-1236624971"/>
              </w:sdtPr>
              <w:sdtContent>
                <w:r>
                  <w:rPr>
                    <w:b/>
                    <w:sz w:val="20"/>
                    <w:szCs w:val="20"/>
                  </w:rPr>
                  <w:t>counseling</w:t>
                </w:r>
              </w:sdtContent>
            </w:sdt>
            <w:sdt>
              <w:sdtPr>
                <w:tag w:val="goog_rdk_147"/>
                <w:id w:val="658884263"/>
                <w:showingPlcHdr/>
              </w:sdtPr>
              <w:sdtContent>
                <w:r>
                  <w:t xml:space="preserve">     </w:t>
                </w:r>
              </w:sdtContent>
            </w:sdt>
          </w:p>
        </w:tc>
        <w:tc>
          <w:tcPr>
            <w:tcW w:w="162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645014C8" w14:textId="77777777" w:rsidR="00B420BC" w:rsidRDefault="00B420BC" w:rsidP="000965DA">
            <w:pPr>
              <w:spacing w:after="0"/>
            </w:pPr>
            <w:r>
              <w:rPr>
                <w:sz w:val="20"/>
                <w:szCs w:val="20"/>
              </w:rPr>
              <w:t>Health facilities/schools</w:t>
            </w:r>
          </w:p>
        </w:tc>
        <w:tc>
          <w:tcPr>
            <w:tcW w:w="15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6F3A160B" w14:textId="77777777" w:rsidR="00B420BC" w:rsidRDefault="00B420BC" w:rsidP="000965DA">
            <w:pPr>
              <w:spacing w:after="0"/>
            </w:pPr>
            <w:r>
              <w:rPr>
                <w:sz w:val="20"/>
                <w:szCs w:val="20"/>
              </w:rPr>
              <w:t>Relatively new</w:t>
            </w:r>
          </w:p>
        </w:tc>
        <w:tc>
          <w:tcPr>
            <w:tcW w:w="325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226C9896" w14:textId="77777777" w:rsidR="00B420BC" w:rsidRPr="00292F5B" w:rsidRDefault="00B420BC" w:rsidP="000965DA">
            <w:pPr>
              <w:spacing w:after="0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Coverage low</w:t>
            </w:r>
            <w:r>
              <w:rPr>
                <w:sz w:val="20"/>
                <w:szCs w:val="20"/>
                <w:vertAlign w:val="superscript"/>
              </w:rPr>
              <w:t>24</w:t>
            </w:r>
          </w:p>
        </w:tc>
      </w:tr>
      <w:tr w:rsidR="00B420BC" w14:paraId="3AC72949" w14:textId="77777777" w:rsidTr="000965DA">
        <w:trPr>
          <w:trHeight w:val="315"/>
        </w:trPr>
        <w:tc>
          <w:tcPr>
            <w:tcW w:w="260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  <w:vAlign w:val="center"/>
          </w:tcPr>
          <w:p w14:paraId="4EC602DD" w14:textId="77777777" w:rsidR="00B420BC" w:rsidRDefault="00B420BC" w:rsidP="000965DA">
            <w:pPr>
              <w:spacing w:after="0"/>
            </w:pPr>
            <w:r>
              <w:rPr>
                <w:b/>
                <w:sz w:val="20"/>
                <w:szCs w:val="20"/>
              </w:rPr>
              <w:t xml:space="preserve">Deworming for school and out of school </w:t>
            </w:r>
          </w:p>
        </w:tc>
        <w:tc>
          <w:tcPr>
            <w:tcW w:w="162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1D68B92B" w14:textId="77777777" w:rsidR="00B420BC" w:rsidRDefault="00B420BC" w:rsidP="000965DA">
            <w:pPr>
              <w:spacing w:after="0"/>
            </w:pPr>
            <w:r>
              <w:rPr>
                <w:sz w:val="20"/>
                <w:szCs w:val="20"/>
              </w:rPr>
              <w:t>Schools</w:t>
            </w:r>
          </w:p>
        </w:tc>
        <w:tc>
          <w:tcPr>
            <w:tcW w:w="153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55947B24" w14:textId="77777777" w:rsidR="00B420BC" w:rsidRDefault="00B420BC" w:rsidP="000965DA">
            <w:pPr>
              <w:spacing w:after="0"/>
            </w:pPr>
            <w:r>
              <w:rPr>
                <w:sz w:val="20"/>
                <w:szCs w:val="20"/>
              </w:rPr>
              <w:t>None as such</w:t>
            </w:r>
          </w:p>
        </w:tc>
        <w:tc>
          <w:tcPr>
            <w:tcW w:w="325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15" w:type="dxa"/>
              <w:left w:w="105" w:type="dxa"/>
              <w:right w:w="105" w:type="dxa"/>
            </w:tcMar>
          </w:tcPr>
          <w:p w14:paraId="3C44E9B9" w14:textId="77777777" w:rsidR="00B420BC" w:rsidRDefault="00B420BC" w:rsidP="000965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Coverage low</w:t>
            </w:r>
          </w:p>
        </w:tc>
      </w:tr>
    </w:tbl>
    <w:p w14:paraId="0587AF83" w14:textId="77777777" w:rsidR="00B420BC" w:rsidRDefault="00B420BC" w:rsidP="00B420BC">
      <w:pPr>
        <w:spacing w:line="276" w:lineRule="auto"/>
      </w:pPr>
      <w:r>
        <w:rPr>
          <w:rFonts w:ascii="Aptos" w:eastAsia="Aptos" w:hAnsi="Aptos" w:cs="Aptos"/>
          <w:sz w:val="28"/>
          <w:szCs w:val="28"/>
          <w:vertAlign w:val="superscript"/>
        </w:rPr>
        <w:t>*</w:t>
      </w:r>
      <w:r>
        <w:rPr>
          <w:rFonts w:ascii="Aptos" w:eastAsia="Aptos" w:hAnsi="Aptos" w:cs="Aptos"/>
          <w:i/>
          <w:sz w:val="18"/>
          <w:szCs w:val="18"/>
        </w:rPr>
        <w:t>Source:</w:t>
      </w:r>
      <w:r>
        <w:rPr>
          <w:rFonts w:ascii="Aptos" w:eastAsia="Aptos" w:hAnsi="Aptos" w:cs="Aptos"/>
          <w:sz w:val="18"/>
          <w:szCs w:val="18"/>
        </w:rPr>
        <w:t xml:space="preserve"> Triangulated from routine program data, </w:t>
      </w:r>
      <w:sdt>
        <w:sdtPr>
          <w:tag w:val="goog_rdk_148"/>
          <w:id w:val="-1571259908"/>
        </w:sdtPr>
        <w:sdtContent/>
      </w:sdt>
      <w:r>
        <w:rPr>
          <w:rFonts w:ascii="Aptos" w:eastAsia="Aptos" w:hAnsi="Aptos" w:cs="Aptos"/>
          <w:sz w:val="18"/>
          <w:szCs w:val="18"/>
        </w:rPr>
        <w:t>surveys, and staff observation and experience</w:t>
      </w:r>
    </w:p>
    <w:p w14:paraId="4164EDD6" w14:textId="77777777" w:rsidR="00A46C2F" w:rsidRDefault="00A46C2F"/>
    <w:sectPr w:rsidR="00A4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BB6C5" w14:textId="77777777" w:rsidR="00B420BC" w:rsidRDefault="00B420BC" w:rsidP="00B420BC">
      <w:pPr>
        <w:spacing w:after="0" w:line="240" w:lineRule="auto"/>
      </w:pPr>
      <w:r>
        <w:separator/>
      </w:r>
    </w:p>
  </w:endnote>
  <w:endnote w:type="continuationSeparator" w:id="0">
    <w:p w14:paraId="30B2C3ED" w14:textId="77777777" w:rsidR="00B420BC" w:rsidRDefault="00B420BC" w:rsidP="00B4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2BC2B" w14:textId="77777777" w:rsidR="00B420BC" w:rsidRDefault="00B420BC" w:rsidP="00B420BC">
      <w:pPr>
        <w:spacing w:after="0" w:line="240" w:lineRule="auto"/>
      </w:pPr>
      <w:r>
        <w:separator/>
      </w:r>
    </w:p>
  </w:footnote>
  <w:footnote w:type="continuationSeparator" w:id="0">
    <w:p w14:paraId="1574A202" w14:textId="77777777" w:rsidR="00B420BC" w:rsidRDefault="00B420BC" w:rsidP="00B420BC">
      <w:pPr>
        <w:spacing w:after="0" w:line="240" w:lineRule="auto"/>
      </w:pPr>
      <w:r>
        <w:continuationSeparator/>
      </w:r>
    </w:p>
  </w:footnote>
  <w:footnote w:id="1">
    <w:p w14:paraId="22BFB3BF" w14:textId="77777777" w:rsidR="00B420BC" w:rsidRPr="003B338A" w:rsidRDefault="00B420BC" w:rsidP="00B420BC">
      <w:pPr>
        <w:pStyle w:val="FootnoteText"/>
        <w:rPr>
          <w:rFonts w:ascii="Calibri Light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1F7F9A">
        <w:rPr>
          <w:rFonts w:ascii="Calibri Light" w:hAnsi="Calibri Light" w:cs="Calibri Light"/>
          <w:sz w:val="14"/>
          <w:szCs w:val="14"/>
          <w:lang w:val="pt-BR"/>
        </w:rPr>
        <w:t xml:space="preserve"> Mandaras, T., Berhanie, E. D., Shalmeno, T. B., Birhanu, W. A., &amp; Nebiyu, B. (2022). </w:t>
      </w:r>
      <w:r w:rsidRPr="003B338A">
        <w:rPr>
          <w:rFonts w:ascii="Calibri Light" w:hAnsi="Calibri Light" w:cs="Calibri Light"/>
          <w:sz w:val="14"/>
          <w:szCs w:val="14"/>
        </w:rPr>
        <w:t xml:space="preserve">Home delivery among pregnant women with ANC follow-up in Ethiopia: Evidence from the 2019 Ethiopia mini demographic and health survey. </w:t>
      </w:r>
      <w:r w:rsidRPr="003B338A">
        <w:rPr>
          <w:rFonts w:ascii="Calibri Light" w:hAnsi="Calibri Light" w:cs="Calibri Light"/>
          <w:i/>
          <w:iCs/>
          <w:sz w:val="14"/>
          <w:szCs w:val="14"/>
        </w:rPr>
        <w:t>Frontiers in Public Health, 10</w:t>
      </w:r>
      <w:r w:rsidRPr="003B338A">
        <w:rPr>
          <w:rFonts w:ascii="Calibri Light" w:hAnsi="Calibri Light" w:cs="Calibri Light"/>
          <w:sz w:val="14"/>
          <w:szCs w:val="14"/>
        </w:rPr>
        <w:t xml:space="preserve">. https://doi.org/10.3389/fpubh.2022.862616 </w:t>
      </w:r>
    </w:p>
  </w:footnote>
  <w:footnote w:id="2">
    <w:p w14:paraId="2F5F6986" w14:textId="77777777" w:rsidR="00B420BC" w:rsidRPr="003B338A" w:rsidRDefault="00B420BC" w:rsidP="00B420BC">
      <w:pPr>
        <w:pStyle w:val="FootnoteText"/>
        <w:rPr>
          <w:rFonts w:ascii="Calibri Light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Tiruneh, S. A., Lakew, A. M., </w:t>
      </w:r>
      <w:proofErr w:type="spellStart"/>
      <w:r w:rsidRPr="003B338A">
        <w:rPr>
          <w:rFonts w:ascii="Calibri Light" w:hAnsi="Calibri Light" w:cs="Calibri Light"/>
          <w:sz w:val="14"/>
          <w:szCs w:val="14"/>
        </w:rPr>
        <w:t>Yigizaw</w:t>
      </w:r>
      <w:proofErr w:type="spellEnd"/>
      <w:r w:rsidRPr="003B338A">
        <w:rPr>
          <w:rFonts w:ascii="Calibri Light" w:hAnsi="Calibri Light" w:cs="Calibri Light"/>
          <w:sz w:val="14"/>
          <w:szCs w:val="14"/>
        </w:rPr>
        <w:t xml:space="preserve">, S. T., &amp; et al. (2020). Trends and determinants of home delivery in Ethiopia: Further multivariate decomposition analysis of 2005–2016 Ethiopian Demographic Health Surveys. </w:t>
      </w:r>
      <w:r w:rsidRPr="003B338A">
        <w:rPr>
          <w:rFonts w:ascii="Calibri Light" w:hAnsi="Calibri Light" w:cs="Calibri Light"/>
          <w:i/>
          <w:iCs/>
          <w:sz w:val="14"/>
          <w:szCs w:val="14"/>
        </w:rPr>
        <w:t>BMJ Open, 10</w:t>
      </w:r>
      <w:r w:rsidRPr="003B338A">
        <w:rPr>
          <w:rFonts w:ascii="Calibri Light" w:hAnsi="Calibri Light" w:cs="Calibri Light"/>
          <w:sz w:val="14"/>
          <w:szCs w:val="14"/>
        </w:rPr>
        <w:t>, e034786. https://doi.org/10.1136/bmjopen-2019-034786</w:t>
      </w:r>
    </w:p>
  </w:footnote>
  <w:footnote w:id="3">
    <w:p w14:paraId="7A6009ED" w14:textId="77777777" w:rsidR="00B420BC" w:rsidRPr="003B338A" w:rsidRDefault="00B420BC" w:rsidP="00B420BC">
      <w:pPr>
        <w:pStyle w:val="FootnoteText"/>
        <w:rPr>
          <w:rFonts w:ascii="Calibri Light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Lucha, T.A., Mengistu, A.K. Factors associated with early initiation of breastfeeding among children less than 24 months old: the 2019 Ethiopian mini demographic and health survey. </w:t>
      </w:r>
      <w:r w:rsidRPr="003B338A">
        <w:rPr>
          <w:rFonts w:ascii="Calibri Light" w:hAnsi="Calibri Light" w:cs="Calibri Light"/>
          <w:i/>
          <w:iCs/>
          <w:sz w:val="14"/>
          <w:szCs w:val="14"/>
        </w:rPr>
        <w:t>Arch Public Health</w:t>
      </w:r>
      <w:r w:rsidRPr="003B338A">
        <w:rPr>
          <w:rFonts w:ascii="Calibri Light" w:hAnsi="Calibri Light" w:cs="Calibri Light"/>
          <w:sz w:val="14"/>
          <w:szCs w:val="14"/>
        </w:rPr>
        <w:t> </w:t>
      </w:r>
      <w:r w:rsidRPr="003B338A">
        <w:rPr>
          <w:rFonts w:ascii="Calibri Light" w:hAnsi="Calibri Light" w:cs="Calibri Light"/>
          <w:b/>
          <w:bCs/>
          <w:sz w:val="14"/>
          <w:szCs w:val="14"/>
        </w:rPr>
        <w:t>80</w:t>
      </w:r>
      <w:r w:rsidRPr="003B338A">
        <w:rPr>
          <w:rFonts w:ascii="Calibri Light" w:hAnsi="Calibri Light" w:cs="Calibri Light"/>
          <w:sz w:val="14"/>
          <w:szCs w:val="14"/>
        </w:rPr>
        <w:t>, 164 (2022). https://doi.org/10.1186/s13690-022-00920-4</w:t>
      </w:r>
    </w:p>
  </w:footnote>
  <w:footnote w:id="4">
    <w:p w14:paraId="5169B78B" w14:textId="77777777" w:rsidR="00B420BC" w:rsidRPr="003B338A" w:rsidRDefault="00B420BC" w:rsidP="00B420BC">
      <w:pPr>
        <w:pStyle w:val="FootnoteText"/>
        <w:rPr>
          <w:rFonts w:ascii="Calibri Light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USAID Advancing Nutrition. (2023). </w:t>
      </w:r>
      <w:r w:rsidRPr="003B338A">
        <w:rPr>
          <w:rFonts w:ascii="Calibri Light" w:hAnsi="Calibri Light" w:cs="Calibri Light"/>
          <w:i/>
          <w:iCs/>
          <w:sz w:val="14"/>
          <w:szCs w:val="14"/>
        </w:rPr>
        <w:t>Desk review of counseling practices in growth monitoring and promotion (GMP)</w:t>
      </w:r>
      <w:r w:rsidRPr="003B338A">
        <w:rPr>
          <w:rFonts w:ascii="Calibri Light" w:hAnsi="Calibri Light" w:cs="Calibri Light"/>
          <w:sz w:val="14"/>
          <w:szCs w:val="14"/>
        </w:rPr>
        <w:t xml:space="preserve">. United States Agency for International Development. </w:t>
      </w:r>
      <w:hyperlink r:id="rId1" w:tgtFrame="_new" w:history="1">
        <w:r w:rsidRPr="003B338A">
          <w:rPr>
            <w:rStyle w:val="Hyperlink"/>
            <w:rFonts w:ascii="Calibri Light" w:eastAsiaTheme="majorEastAsia" w:hAnsi="Calibri Light" w:cs="Calibri Light"/>
            <w:sz w:val="14"/>
            <w:szCs w:val="14"/>
          </w:rPr>
          <w:t>https://www.advancingnutrition.org/sites/default/files/2023-10/usaid_an_desk_review_counseling_in_gmp_sept_2023.pdf</w:t>
        </w:r>
      </w:hyperlink>
    </w:p>
  </w:footnote>
  <w:footnote w:id="5">
    <w:p w14:paraId="5FB31F71" w14:textId="77777777" w:rsidR="00B420BC" w:rsidRDefault="00B420BC" w:rsidP="00B420BC">
      <w:pPr>
        <w:spacing w:after="0" w:line="240" w:lineRule="auto"/>
        <w:rPr>
          <w:rFonts w:ascii="Aptos" w:eastAsia="Aptos" w:hAnsi="Aptos" w:cs="Aptos"/>
          <w:sz w:val="20"/>
          <w:szCs w:val="20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Ethiopian Public Health Institute, Ministry of Health &amp; UNICEF. (2023). </w:t>
      </w:r>
      <w:r w:rsidRPr="003B338A">
        <w:rPr>
          <w:rFonts w:ascii="Calibri Light" w:hAnsi="Calibri Light" w:cs="Calibri Light"/>
          <w:i/>
          <w:sz w:val="14"/>
          <w:szCs w:val="14"/>
        </w:rPr>
        <w:t xml:space="preserve">National Food and Nutrition Strategy Baseline Survey: Key Findings Preliminary Report. </w:t>
      </w:r>
      <w:r w:rsidRPr="003B338A">
        <w:rPr>
          <w:rFonts w:ascii="Calibri Light" w:hAnsi="Calibri Light" w:cs="Calibri Light"/>
          <w:sz w:val="14"/>
          <w:szCs w:val="14"/>
        </w:rPr>
        <w:t>Available at: https://ephi.gov.et/wp-content/uploads/2023/03/FNS_baseline_survey_preliminary_findings.pdf</w:t>
      </w:r>
    </w:p>
  </w:footnote>
  <w:footnote w:id="6">
    <w:p w14:paraId="75CA2AFB" w14:textId="77777777" w:rsidR="00B420BC" w:rsidRPr="003B338A" w:rsidRDefault="00B420BC" w:rsidP="00B420BC">
      <w:pPr>
        <w:pStyle w:val="FootnoteText"/>
        <w:rPr>
          <w:rFonts w:ascii="Calibri Light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</w:t>
      </w:r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 xml:space="preserve">Farah, A. M., Gebremedhin, S., Rago, B., Kebede, A., </w:t>
      </w:r>
      <w:proofErr w:type="spellStart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Barsenga</w:t>
      </w:r>
      <w:proofErr w:type="spellEnd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 xml:space="preserve">, K., Chiriga, M., Darge, T., </w:t>
      </w:r>
      <w:proofErr w:type="spellStart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Ndumiyana</w:t>
      </w:r>
      <w:proofErr w:type="spellEnd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 xml:space="preserve">, T., Yimer, T., Darsene, H., </w:t>
      </w:r>
      <w:proofErr w:type="spellStart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Kelbessa</w:t>
      </w:r>
      <w:proofErr w:type="spellEnd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 xml:space="preserve">, S., Yilma, B., &amp; Gebreyesus, S. H. (2024). Effective coverage of management of wasting in Ethiopia. </w:t>
      </w:r>
      <w:hyperlink r:id="rId2" w:tgtFrame="_new" w:history="1">
        <w:r w:rsidRPr="003B338A">
          <w:rPr>
            <w:rStyle w:val="Hyperlink"/>
            <w:rFonts w:ascii="Calibri Light" w:eastAsia="Aptos" w:hAnsi="Calibri Light" w:cs="Calibri Light"/>
            <w:sz w:val="14"/>
            <w:szCs w:val="14"/>
          </w:rPr>
          <w:t>https://doi.org/10.1101/2024.04.23.24306206</w:t>
        </w:r>
      </w:hyperlink>
    </w:p>
  </w:footnote>
  <w:footnote w:id="7">
    <w:p w14:paraId="67DFE5D4" w14:textId="77777777" w:rsidR="00B420BC" w:rsidRPr="003B338A" w:rsidRDefault="00B420BC" w:rsidP="00B420BC">
      <w:pPr>
        <w:spacing w:after="0"/>
        <w:rPr>
          <w:rFonts w:ascii="Calibri Light" w:eastAsia="Aptos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</w:t>
      </w:r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 xml:space="preserve">WHO guideline on the prevention and management of wasting and nutritional oedema (acute malnutrition) in infants and children under 5 years. Geneva: World Health Organization; 2023. </w:t>
      </w:r>
      <w:proofErr w:type="spellStart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Licence</w:t>
      </w:r>
      <w:proofErr w:type="spellEnd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: cc by-</w:t>
      </w:r>
      <w:proofErr w:type="spellStart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nc</w:t>
      </w:r>
      <w:proofErr w:type="spellEnd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-</w:t>
      </w:r>
      <w:proofErr w:type="spellStart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sa</w:t>
      </w:r>
      <w:proofErr w:type="spellEnd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 xml:space="preserve"> 3.0 </w:t>
      </w:r>
      <w:proofErr w:type="spellStart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igo</w:t>
      </w:r>
      <w:proofErr w:type="spellEnd"/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 xml:space="preserve"> </w:t>
      </w:r>
    </w:p>
  </w:footnote>
  <w:footnote w:id="8">
    <w:p w14:paraId="1380DF98" w14:textId="77777777" w:rsidR="00B420BC" w:rsidRPr="003B338A" w:rsidRDefault="00B420BC" w:rsidP="00B420BC">
      <w:pPr>
        <w:spacing w:after="0" w:line="240" w:lineRule="auto"/>
        <w:rPr>
          <w:rStyle w:val="Hyperlink"/>
          <w:rFonts w:ascii="Calibri Light" w:eastAsia="Aptos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1F7F9A">
        <w:rPr>
          <w:rFonts w:ascii="Calibri Light" w:hAnsi="Calibri Light" w:cs="Calibri Light"/>
          <w:sz w:val="14"/>
          <w:szCs w:val="14"/>
        </w:rPr>
        <w:t xml:space="preserve"> </w:t>
      </w:r>
      <w:r w:rsidRPr="001F7F9A">
        <w:rPr>
          <w:rStyle w:val="Hyperlink"/>
          <w:rFonts w:ascii="Calibri Light" w:eastAsia="Aptos" w:hAnsi="Calibri Light" w:cs="Calibri Light"/>
          <w:sz w:val="14"/>
          <w:szCs w:val="14"/>
        </w:rPr>
        <w:t xml:space="preserve">Demissie, T., Ali, A., Mekonen, Y., Haider, J., &amp; Umeta, M. (2010). </w:t>
      </w:r>
      <w:r w:rsidRPr="003B338A">
        <w:rPr>
          <w:rStyle w:val="Hyperlink"/>
          <w:rFonts w:ascii="Calibri Light" w:eastAsia="Aptos" w:hAnsi="Calibri Light" w:cs="Calibri Light"/>
          <w:sz w:val="14"/>
          <w:szCs w:val="14"/>
        </w:rPr>
        <w:t>Magnitude and distribution of vitamin A deficiency in Ethiopia. Food and nutrition bulletin, 31(2), 234–241. https://doi.org/10.1177/156482651003100206</w:t>
      </w:r>
    </w:p>
  </w:footnote>
  <w:footnote w:id="9">
    <w:p w14:paraId="520E7B12" w14:textId="77777777" w:rsidR="00B420BC" w:rsidRPr="003B338A" w:rsidRDefault="00B420BC" w:rsidP="00B420BC">
      <w:pPr>
        <w:pStyle w:val="FootnoteText"/>
        <w:rPr>
          <w:rFonts w:ascii="Calibri Light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Ethiopian Public Health Institute, Ministry of Health &amp; UNICEF. (2023). </w:t>
      </w:r>
      <w:r w:rsidRPr="003B338A">
        <w:rPr>
          <w:rFonts w:ascii="Calibri Light" w:hAnsi="Calibri Light" w:cs="Calibri Light"/>
          <w:i/>
          <w:sz w:val="14"/>
          <w:szCs w:val="14"/>
        </w:rPr>
        <w:t xml:space="preserve">National Food and Nutrition Strategy Baseline Survey: Key Findings Preliminary Report. </w:t>
      </w:r>
      <w:r w:rsidRPr="003B338A">
        <w:rPr>
          <w:rFonts w:ascii="Calibri Light" w:hAnsi="Calibri Light" w:cs="Calibri Light"/>
          <w:sz w:val="14"/>
          <w:szCs w:val="14"/>
        </w:rPr>
        <w:t>Available at: https://ephi.gov.et/wp-content/uploads/2023/03/FNS_baseline_survey_preliminary_findings.pdf</w:t>
      </w:r>
    </w:p>
  </w:footnote>
  <w:footnote w:id="10">
    <w:p w14:paraId="10944BDE" w14:textId="77777777" w:rsidR="00B420BC" w:rsidRDefault="00B420BC" w:rsidP="00B420BC">
      <w:pPr>
        <w:pStyle w:val="FootnoteText"/>
        <w:rPr>
          <w:rFonts w:ascii="Aptos" w:eastAsia="Aptos" w:hAnsi="Aptos" w:cs="Aptos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</w:t>
      </w:r>
      <w:hyperlink r:id="rId3" w:history="1">
        <w:r w:rsidRPr="003B338A">
          <w:rPr>
            <w:rStyle w:val="Hyperlink"/>
            <w:rFonts w:ascii="Calibri Light" w:eastAsia="Aptos" w:hAnsi="Calibri Light" w:cs="Calibri Light"/>
            <w:sz w:val="14"/>
            <w:szCs w:val="14"/>
          </w:rPr>
          <w:t xml:space="preserve">Ministry of Health- Ethiopia. (2022). </w:t>
        </w:r>
        <w:r w:rsidRPr="003B338A">
          <w:rPr>
            <w:rStyle w:val="Hyperlink"/>
            <w:rFonts w:ascii="Calibri Light" w:eastAsia="Aptos" w:hAnsi="Calibri Light" w:cs="Calibri Light"/>
            <w:i/>
            <w:iCs/>
            <w:sz w:val="14"/>
            <w:szCs w:val="14"/>
          </w:rPr>
          <w:t xml:space="preserve">National Antenatal Care Guideline: Ensuring Positive Pregnancy Experience. </w:t>
        </w:r>
        <w:r w:rsidRPr="003B338A">
          <w:rPr>
            <w:rStyle w:val="Hyperlink"/>
            <w:rFonts w:ascii="Calibri Light" w:eastAsia="Aptos" w:hAnsi="Calibri Light" w:cs="Calibri Light"/>
            <w:sz w:val="14"/>
            <w:szCs w:val="14"/>
          </w:rPr>
          <w:t>Available at: https://www.moh.gov.et/sites/default/files/2024-07/National%20Antenatal%20Care%20Guideline_2022.pdf</w:t>
        </w:r>
      </w:hyperlink>
    </w:p>
  </w:footnote>
  <w:footnote w:id="11">
    <w:p w14:paraId="242F2D76" w14:textId="77777777" w:rsidR="00B420BC" w:rsidRPr="003B338A" w:rsidRDefault="00B420BC" w:rsidP="00B420BC">
      <w:pPr>
        <w:spacing w:after="0" w:line="240" w:lineRule="auto"/>
        <w:rPr>
          <w:rFonts w:ascii="Calibri Light" w:eastAsia="Aptos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Ethiopian Public Health Institute, Ministry of Health &amp; UNICEF. (2023). </w:t>
      </w:r>
      <w:r w:rsidRPr="003B338A">
        <w:rPr>
          <w:rFonts w:ascii="Calibri Light" w:hAnsi="Calibri Light" w:cs="Calibri Light"/>
          <w:i/>
          <w:sz w:val="14"/>
          <w:szCs w:val="14"/>
        </w:rPr>
        <w:t xml:space="preserve">National Food and Nutrition Strategy Baseline Survey: Key Findings Preliminary Report. </w:t>
      </w:r>
      <w:r w:rsidRPr="003B338A">
        <w:rPr>
          <w:rFonts w:ascii="Calibri Light" w:hAnsi="Calibri Light" w:cs="Calibri Light"/>
          <w:sz w:val="14"/>
          <w:szCs w:val="14"/>
        </w:rPr>
        <w:t>Available at: https://ephi.gov.et/wp-content/uploads/2023/03/FNS_baseline_survey_preliminary_findings.pdf</w:t>
      </w:r>
    </w:p>
  </w:footnote>
  <w:footnote w:id="12">
    <w:p w14:paraId="40EFC8FB" w14:textId="77777777" w:rsidR="00B420BC" w:rsidRPr="003B338A" w:rsidRDefault="00B420BC" w:rsidP="00B420BC">
      <w:pPr>
        <w:pStyle w:val="FootnoteText"/>
        <w:rPr>
          <w:rFonts w:ascii="Calibri Light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Ministry of Health- Ethiopia. (2022). National Antenatal Care Guideline: Ensuring Positive Pregnancy Experience. Available at: https://www.moh.gov.et/sites/default/files/2024-07/National%20Antenatal%20Care%20Guideline_2022.pdf</w:t>
      </w:r>
    </w:p>
  </w:footnote>
  <w:footnote w:id="13">
    <w:p w14:paraId="49FE191A" w14:textId="77777777" w:rsidR="00B420BC" w:rsidRPr="003B338A" w:rsidRDefault="00B420BC" w:rsidP="00B420BC">
      <w:pPr>
        <w:spacing w:after="0" w:line="240" w:lineRule="auto"/>
        <w:rPr>
          <w:rFonts w:ascii="Calibri Light" w:eastAsia="Aptos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1F7F9A">
        <w:rPr>
          <w:rFonts w:ascii="Calibri Light" w:hAnsi="Calibri Light" w:cs="Calibri Light"/>
          <w:sz w:val="14"/>
          <w:szCs w:val="14"/>
          <w:lang w:val="fr-FR"/>
        </w:rPr>
        <w:t xml:space="preserve"> Haider, B. A., &amp; </w:t>
      </w:r>
      <w:proofErr w:type="spellStart"/>
      <w:r w:rsidRPr="001F7F9A">
        <w:rPr>
          <w:rFonts w:ascii="Calibri Light" w:hAnsi="Calibri Light" w:cs="Calibri Light"/>
          <w:sz w:val="14"/>
          <w:szCs w:val="14"/>
          <w:lang w:val="fr-FR"/>
        </w:rPr>
        <w:t>Bhutta</w:t>
      </w:r>
      <w:proofErr w:type="spellEnd"/>
      <w:r w:rsidRPr="001F7F9A">
        <w:rPr>
          <w:rFonts w:ascii="Calibri Light" w:hAnsi="Calibri Light" w:cs="Calibri Light"/>
          <w:sz w:val="14"/>
          <w:szCs w:val="14"/>
          <w:lang w:val="fr-FR"/>
        </w:rPr>
        <w:t xml:space="preserve">, Z. A. (2017). </w:t>
      </w:r>
      <w:r w:rsidRPr="003B338A">
        <w:rPr>
          <w:rFonts w:ascii="Calibri Light" w:hAnsi="Calibri Light" w:cs="Calibri Light"/>
          <w:sz w:val="14"/>
          <w:szCs w:val="14"/>
        </w:rPr>
        <w:t>Multiple-micronutrient supplementation for women during pregnancy. </w:t>
      </w:r>
      <w:r w:rsidRPr="003B338A">
        <w:rPr>
          <w:rFonts w:ascii="Calibri Light" w:hAnsi="Calibri Light" w:cs="Calibri Light"/>
          <w:i/>
          <w:sz w:val="14"/>
          <w:szCs w:val="14"/>
        </w:rPr>
        <w:t>The Cochrane database of systematic reviews</w:t>
      </w:r>
      <w:r w:rsidRPr="003B338A">
        <w:rPr>
          <w:rFonts w:ascii="Calibri Light" w:hAnsi="Calibri Light" w:cs="Calibri Light"/>
          <w:sz w:val="14"/>
          <w:szCs w:val="14"/>
        </w:rPr>
        <w:t>, </w:t>
      </w:r>
      <w:r w:rsidRPr="003B338A">
        <w:rPr>
          <w:rFonts w:ascii="Calibri Light" w:hAnsi="Calibri Light" w:cs="Calibri Light"/>
          <w:i/>
          <w:iCs/>
          <w:sz w:val="14"/>
          <w:szCs w:val="14"/>
        </w:rPr>
        <w:t>4</w:t>
      </w:r>
      <w:r w:rsidRPr="003B338A">
        <w:rPr>
          <w:rFonts w:ascii="Calibri Light" w:hAnsi="Calibri Light" w:cs="Calibri Light"/>
          <w:sz w:val="14"/>
          <w:szCs w:val="14"/>
        </w:rPr>
        <w:t>(4), CD004905. https://doi.org/10.1002/14651858.CD004905.pub5</w:t>
      </w:r>
    </w:p>
  </w:footnote>
  <w:footnote w:id="14">
    <w:p w14:paraId="3415E512" w14:textId="77777777" w:rsidR="00B420BC" w:rsidRPr="00D03256" w:rsidRDefault="00B420BC" w:rsidP="00B420BC">
      <w:pPr>
        <w:spacing w:after="0" w:line="240" w:lineRule="auto"/>
        <w:rPr>
          <w:rFonts w:ascii="Calibri Light" w:eastAsia="Aptos" w:hAnsi="Calibri Light" w:cs="Calibri Light"/>
          <w:sz w:val="14"/>
          <w:szCs w:val="14"/>
          <w:lang w:val="pt-BR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ED6CFB">
        <w:rPr>
          <w:rFonts w:ascii="Calibri Light" w:hAnsi="Calibri Light" w:cs="Calibri Light"/>
          <w:sz w:val="14"/>
          <w:szCs w:val="14"/>
          <w:lang w:val="fr-FR"/>
        </w:rPr>
        <w:t xml:space="preserve"> Tessema, G. A., Laurence, C. O., Melaku, Y. A., &amp; et al. </w:t>
      </w:r>
      <w:r w:rsidRPr="003B338A">
        <w:rPr>
          <w:rFonts w:ascii="Calibri Light" w:hAnsi="Calibri Light" w:cs="Calibri Light"/>
          <w:sz w:val="14"/>
          <w:szCs w:val="14"/>
        </w:rPr>
        <w:t xml:space="preserve">(2017). Trends and causes of maternal mortality in Ethiopia during 1990–2013: Findings from the Global Burden of Diseases study 2013. </w:t>
      </w:r>
      <w:r w:rsidRPr="00D03256">
        <w:rPr>
          <w:rFonts w:ascii="Calibri Light" w:hAnsi="Calibri Light" w:cs="Calibri Light"/>
          <w:i/>
          <w:iCs/>
          <w:sz w:val="14"/>
          <w:szCs w:val="14"/>
          <w:lang w:val="pt-BR"/>
        </w:rPr>
        <w:t>BMC Public Health, 17</w:t>
      </w:r>
      <w:r w:rsidRPr="00D03256">
        <w:rPr>
          <w:rFonts w:ascii="Calibri Light" w:hAnsi="Calibri Light" w:cs="Calibri Light"/>
          <w:sz w:val="14"/>
          <w:szCs w:val="14"/>
          <w:lang w:val="pt-BR"/>
        </w:rPr>
        <w:t xml:space="preserve">, 160. </w:t>
      </w:r>
      <w:r>
        <w:fldChar w:fldCharType="begin"/>
      </w:r>
      <w:r w:rsidRPr="00FB748E">
        <w:rPr>
          <w:lang w:val="pt-BR"/>
        </w:rPr>
        <w:instrText>HYPERLINK "https://doi.org/10.1186/s12889-017-4071-8" \t "_new"</w:instrText>
      </w:r>
      <w:r>
        <w:fldChar w:fldCharType="separate"/>
      </w:r>
      <w:r w:rsidRPr="00D03256">
        <w:rPr>
          <w:rStyle w:val="Hyperlink"/>
          <w:rFonts w:ascii="Calibri Light" w:hAnsi="Calibri Light" w:cs="Calibri Light"/>
          <w:sz w:val="14"/>
          <w:szCs w:val="14"/>
          <w:lang w:val="pt-BR"/>
        </w:rPr>
        <w:t>https://doi.org/10.1186/s12889-017-4071-8</w:t>
      </w:r>
      <w:r>
        <w:rPr>
          <w:rStyle w:val="Hyperlink"/>
          <w:rFonts w:ascii="Calibri Light" w:hAnsi="Calibri Light" w:cs="Calibri Light"/>
          <w:sz w:val="14"/>
          <w:szCs w:val="14"/>
          <w:lang w:val="pt-BR"/>
        </w:rPr>
        <w:fldChar w:fldCharType="end"/>
      </w:r>
    </w:p>
  </w:footnote>
  <w:footnote w:id="15">
    <w:p w14:paraId="4701A939" w14:textId="77777777" w:rsidR="00B420BC" w:rsidRPr="003B338A" w:rsidRDefault="00B420BC" w:rsidP="00B420BC">
      <w:pPr>
        <w:pStyle w:val="FootnoteText"/>
        <w:rPr>
          <w:rFonts w:ascii="Calibri Light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D03256">
        <w:rPr>
          <w:rFonts w:ascii="Calibri Light" w:hAnsi="Calibri Light" w:cs="Calibri Light"/>
          <w:sz w:val="14"/>
          <w:szCs w:val="14"/>
          <w:lang w:val="pt-BR"/>
        </w:rPr>
        <w:t xml:space="preserve"> </w:t>
      </w:r>
      <w:r w:rsidRPr="00D03256">
        <w:rPr>
          <w:rFonts w:ascii="Calibri Light" w:hAnsi="Calibri Light" w:cs="Calibri Light"/>
          <w:sz w:val="14"/>
          <w:szCs w:val="14"/>
          <w:lang w:val="pt-BR"/>
        </w:rPr>
        <w:t xml:space="preserve">Chicaiza-Becerra, L. A., Garcia-Molina, M., Oviedo, S., Urrego, J., Rincon, C. J., Gomez, P. I., &amp; Rubio-Romero, J. A. (2014). </w:t>
      </w:r>
      <w:r w:rsidRPr="003B338A">
        <w:rPr>
          <w:rFonts w:ascii="Calibri Light" w:hAnsi="Calibri Light" w:cs="Calibri Light"/>
          <w:sz w:val="14"/>
          <w:szCs w:val="14"/>
        </w:rPr>
        <w:t xml:space="preserve">Cost effectiveness of calcium supplement in reducing preeclampsia-related maternal mortality. </w:t>
      </w:r>
      <w:r w:rsidRPr="003B338A">
        <w:rPr>
          <w:rFonts w:ascii="Calibri Light" w:hAnsi="Calibri Light" w:cs="Calibri Light"/>
          <w:i/>
          <w:iCs/>
          <w:sz w:val="14"/>
          <w:szCs w:val="14"/>
        </w:rPr>
        <w:t>Value in Health, 17</w:t>
      </w:r>
      <w:r w:rsidRPr="003B338A">
        <w:rPr>
          <w:rFonts w:ascii="Calibri Light" w:hAnsi="Calibri Light" w:cs="Calibri Light"/>
          <w:sz w:val="14"/>
          <w:szCs w:val="14"/>
        </w:rPr>
        <w:t>(7), pA510.</w:t>
      </w:r>
    </w:p>
  </w:footnote>
  <w:footnote w:id="16">
    <w:p w14:paraId="25C5C6B3" w14:textId="77777777" w:rsidR="00B420BC" w:rsidRPr="003B338A" w:rsidRDefault="00B420BC" w:rsidP="00B420BC">
      <w:pPr>
        <w:spacing w:after="0"/>
        <w:rPr>
          <w:rFonts w:ascii="Calibri Light" w:eastAsia="Aptos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</w:t>
      </w:r>
      <w:hyperlink r:id="rId4" w:history="1">
        <w:r w:rsidRPr="003B338A">
          <w:rPr>
            <w:rStyle w:val="Hyperlink"/>
            <w:rFonts w:ascii="Calibri Light" w:eastAsia="Aptos" w:hAnsi="Calibri Light" w:cs="Calibri Light"/>
            <w:sz w:val="14"/>
            <w:szCs w:val="14"/>
          </w:rPr>
          <w:t>Weekly Iron Folic Acid Supplementation for Adolescents in Ethiopia</w:t>
        </w:r>
      </w:hyperlink>
    </w:p>
  </w:footnote>
  <w:footnote w:id="17">
    <w:p w14:paraId="2F649672" w14:textId="77777777" w:rsidR="00B420BC" w:rsidRPr="003B338A" w:rsidRDefault="00B420BC" w:rsidP="00B420BC">
      <w:pPr>
        <w:pStyle w:val="FootnoteText"/>
        <w:rPr>
          <w:rFonts w:ascii="Calibri Light" w:hAnsi="Calibri Light" w:cs="Calibri Light"/>
          <w:sz w:val="14"/>
          <w:szCs w:val="14"/>
        </w:rPr>
      </w:pPr>
      <w:r w:rsidRPr="003B338A">
        <w:rPr>
          <w:rStyle w:val="FootnoteReference"/>
          <w:rFonts w:ascii="Calibri Light" w:hAnsi="Calibri Light" w:cs="Calibri Light"/>
          <w:sz w:val="14"/>
          <w:szCs w:val="14"/>
        </w:rPr>
        <w:footnoteRef/>
      </w:r>
      <w:r w:rsidRPr="003B338A">
        <w:rPr>
          <w:rFonts w:ascii="Calibri Light" w:hAnsi="Calibri Light" w:cs="Calibri Light"/>
          <w:sz w:val="14"/>
          <w:szCs w:val="14"/>
        </w:rPr>
        <w:t xml:space="preserve"> </w:t>
      </w:r>
      <w:proofErr w:type="spellStart"/>
      <w:r w:rsidRPr="003B338A">
        <w:rPr>
          <w:rFonts w:ascii="Calibri Light" w:hAnsi="Calibri Light" w:cs="Calibri Light"/>
          <w:sz w:val="14"/>
          <w:szCs w:val="14"/>
        </w:rPr>
        <w:t>Sununtnasuk</w:t>
      </w:r>
      <w:proofErr w:type="spellEnd"/>
      <w:r w:rsidRPr="003B338A">
        <w:rPr>
          <w:rFonts w:ascii="Calibri Light" w:hAnsi="Calibri Light" w:cs="Calibri Light"/>
          <w:sz w:val="14"/>
          <w:szCs w:val="14"/>
        </w:rPr>
        <w:t xml:space="preserve">, C., Berhane, H., Kim, S., Menon, P., Oumer, A., Sanghvi, T., &amp; </w:t>
      </w:r>
      <w:proofErr w:type="spellStart"/>
      <w:r w:rsidRPr="003B338A">
        <w:rPr>
          <w:rFonts w:ascii="Calibri Light" w:hAnsi="Calibri Light" w:cs="Calibri Light"/>
          <w:sz w:val="14"/>
          <w:szCs w:val="14"/>
        </w:rPr>
        <w:t>Walissa</w:t>
      </w:r>
      <w:proofErr w:type="spellEnd"/>
      <w:r w:rsidRPr="003B338A">
        <w:rPr>
          <w:rFonts w:ascii="Calibri Light" w:hAnsi="Calibri Light" w:cs="Calibri Light"/>
          <w:sz w:val="14"/>
          <w:szCs w:val="14"/>
        </w:rPr>
        <w:t xml:space="preserve">, T. (2022). School-based nutrition interventions had impacts on dietary diversity and meal frequency of adolescent girls in Ethiopia. </w:t>
      </w:r>
      <w:r w:rsidRPr="003B338A">
        <w:rPr>
          <w:rFonts w:ascii="Calibri Light" w:hAnsi="Calibri Light" w:cs="Calibri Light"/>
          <w:i/>
          <w:iCs/>
          <w:sz w:val="14"/>
          <w:szCs w:val="14"/>
        </w:rPr>
        <w:t>Current Developments in Nutrition, 6</w:t>
      </w:r>
      <w:r w:rsidRPr="003B338A">
        <w:rPr>
          <w:rFonts w:ascii="Calibri Light" w:hAnsi="Calibri Light" w:cs="Calibri Light"/>
          <w:sz w:val="14"/>
          <w:szCs w:val="14"/>
        </w:rPr>
        <w:t xml:space="preserve">(Supplement 1), 607. </w:t>
      </w:r>
      <w:hyperlink r:id="rId5" w:tgtFrame="_new" w:history="1">
        <w:r w:rsidRPr="003B338A">
          <w:rPr>
            <w:rStyle w:val="Hyperlink"/>
            <w:rFonts w:ascii="Calibri Light" w:eastAsiaTheme="majorEastAsia" w:hAnsi="Calibri Light" w:cs="Calibri Light"/>
            <w:sz w:val="14"/>
            <w:szCs w:val="14"/>
          </w:rPr>
          <w:t>https://doi.org/10.1093/cdn/nzac060.065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BC"/>
    <w:rsid w:val="00A46C2F"/>
    <w:rsid w:val="00AC51E7"/>
    <w:rsid w:val="00B30FED"/>
    <w:rsid w:val="00B420BC"/>
    <w:rsid w:val="00B96676"/>
    <w:rsid w:val="00C5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F016"/>
  <w15:chartTrackingRefBased/>
  <w15:docId w15:val="{B85205CF-D28E-4EE8-96DE-0CA0B53A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0BC"/>
    <w:pPr>
      <w:spacing w:line="278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0B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0B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0B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0B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0B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0B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0B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0B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0B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0BC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0BC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0BC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2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0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0BC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420B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rsid w:val="00B420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20B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uiPriority w:val="99"/>
    <w:rsid w:val="00B420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inistry%20of%20Health-%20Ethiopia.%20(2022).%20National%20Antenatal%20Care%20Guideline:%20Ensuring%20Positive%20Pregnancy%20Experience.%20Available%20at:%20https://www.moh.gov.et/sites/default/files/2024-07/National%20Antenatal%20Care%20Guideline_2022.pdf" TargetMode="External"/><Relationship Id="rId2" Type="http://schemas.openxmlformats.org/officeDocument/2006/relationships/hyperlink" Target="https://doi.org/10.1101/2024.04.23.24306206" TargetMode="External"/><Relationship Id="rId1" Type="http://schemas.openxmlformats.org/officeDocument/2006/relationships/hyperlink" Target="https://www.advancingnutrition.org/sites/default/files/2023-10/usaid_an_desk_review_counseling_in_gmp_sept_2023.pdf" TargetMode="External"/><Relationship Id="rId5" Type="http://schemas.openxmlformats.org/officeDocument/2006/relationships/hyperlink" Target="https://doi.org/10.1093/cdn/nzac060.065" TargetMode="External"/><Relationship Id="rId4" Type="http://schemas.openxmlformats.org/officeDocument/2006/relationships/hyperlink" Target="https://www.nutritionintl.org/learning-resource/weekly-iron-folic-acid-supplementation-wifas-for-adolescents-fa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</dc:creator>
  <cp:keywords/>
  <dc:description/>
  <cp:lastModifiedBy>Yared</cp:lastModifiedBy>
  <cp:revision>1</cp:revision>
  <dcterms:created xsi:type="dcterms:W3CDTF">2024-09-10T08:50:00Z</dcterms:created>
  <dcterms:modified xsi:type="dcterms:W3CDTF">2024-09-10T08:51:00Z</dcterms:modified>
</cp:coreProperties>
</file>