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2A4A"/>
          <w:sz w:val="64"/>
          <w:szCs w:val="64"/>
        </w:rPr>
        <w:t xml:space="preserve">MEDILINK</w:t>
      </w:r>
    </w:p>
    <w:p>
      <w:pPr>
        <w:spacing w:after="100" w:before="200"/>
        <w:jc w:val="center"/>
      </w:pPr>
      <w:r>
        <w:rPr>
          <w:rFonts w:ascii="Calibri" w:cs="Calibri" w:eastAsia="Calibri" w:hAnsi="Calibri"/>
          <w:color w:val="0F7C6C"/>
          <w:sz w:val="30"/>
          <w:szCs w:val="30"/>
        </w:rPr>
        <w:t xml:space="preserve">Healthcare Workforce &amp; Locum-Management Platform</w:t>
      </w:r>
    </w:p>
    <w:p>
      <w:pPr>
        <w:spacing w:after="1600" w:before="60"/>
        <w:jc w:val="center"/>
      </w:pPr>
      <w:r>
        <w:rPr>
          <w:rFonts w:ascii="Calibri" w:cs="Calibri" w:eastAsia="Calibri" w:hAnsi="Calibri"/>
          <w:i/>
          <w:iCs/>
          <w:color w:val="5B6472"/>
          <w:sz w:val="24"/>
          <w:szCs w:val="24"/>
        </w:rPr>
        <w:t xml:space="preserve">System Requirements &amp; Architecture Documentation — Nigeria Edition</w:t>
      </w:r>
    </w:p>
    <w:p>
      <w:pPr>
        <w:spacing w:after="120"/>
        <w:jc w:val="center"/>
      </w:pPr>
      <w:r>
        <w:rPr>
          <w:rFonts w:ascii="Calibri" w:hAnsi="Calibri"/>
        </w:rPr>
        <w:t>Document Version:  2.1 (Release Candidate)</w:t>
      </w:r>
    </w:p>
    <w:p>
      <w:pPr>
        <w:spacing w:after="120"/>
        <w:jc w:val="center"/>
      </w:pPr>
      <w:r>
        <w:rPr>
          <w:rFonts w:ascii="Calibri" w:hAnsi="Calibri"/>
        </w:rPr>
        <w:t>Status:  For Final Approval — Phase 1 Development Baseline</w:t>
      </w:r>
    </w:p>
    <w:p>
      <w:pPr>
        <w:spacing w:after="120"/>
        <w:jc w:val="center"/>
      </w:pPr>
      <w:r>
        <w:rPr>
          <w:rFonts w:ascii="Calibri" w:hAnsi="Calibri"/>
          <w:b/>
          <w:bCs/>
          <w:color w:val="1B2A4A"/>
          <w:sz w:val="20"/>
          <w:szCs w:val="20"/>
        </w:rPr>
        <w:t xml:space="preserve">Target Market:  </w:t>
      </w:r>
      <w:r>
        <w:rPr>
          <w:rFonts w:ascii="Calibri" w:hAnsi="Calibri"/>
          <w:color w:val="26282B"/>
          <w:sz w:val="20"/>
          <w:szCs w:val="20"/>
        </w:rPr>
        <w:t xml:space="preserve">Federal Republic of Nigeria</w:t>
      </w:r>
    </w:p>
    <w:p>
      <w:pPr>
        <w:spacing w:after="120"/>
        <w:jc w:val="center"/>
      </w:pPr>
      <w:r>
        <w:rPr>
          <w:rFonts w:ascii="Calibri" w:hAnsi="Calibri"/>
          <w:b/>
          <w:bCs/>
          <w:color w:val="1B2A4A"/>
          <w:sz w:val="20"/>
          <w:szCs w:val="20"/>
        </w:rPr>
        <w:t xml:space="preserve">Primary Stack:  </w:t>
      </w:r>
      <w:r>
        <w:rPr>
          <w:rFonts w:ascii="Calibri" w:hAnsi="Calibri"/>
          <w:color w:val="26282B"/>
          <w:sz w:val="20"/>
          <w:szCs w:val="20"/>
        </w:rPr>
        <w:t xml:space="preserve">Next.js (TypeScript) · PostgreSQL</w:t>
      </w:r>
    </w:p>
    <w:p>
      <w:pPr>
        <w:spacing w:after="120"/>
        <w:jc w:val="center"/>
      </w:pPr>
      <w:r>
        <w:rPr>
          <w:rFonts w:ascii="Calibri" w:hAnsi="Calibri"/>
          <w:b/>
          <w:bCs/>
          <w:color w:val="1B2A4A"/>
          <w:sz w:val="20"/>
          <w:szCs w:val="20"/>
        </w:rPr>
        <w:t xml:space="preserve">Date:  </w:t>
      </w:r>
      <w:r>
        <w:rPr>
          <w:rFonts w:ascii="Calibri" w:hAnsi="Calibri"/>
          <w:color w:val="26282B"/>
          <w:sz w:val="20"/>
          <w:szCs w:val="20"/>
        </w:rPr>
        <w:t xml:space="preserve">July 2026</w:t>
      </w:r>
    </w:p>
    <w:p>
      <w:r>
        <w:rPr>
          <w:rFonts w:ascii="Calibri" w:hAnsi="Calibri"/>
        </w:rPr>
        <w:br w:type="page"/>
      </w:r>
    </w:p>
    <w:p>
      <w:pPr>
        <w:pStyle w:val="Heading1"/>
        <w:keepNext/>
      </w:pPr>
      <w:r>
        <w:rPr>
          <w:rFonts w:ascii="Calibri" w:hAnsi="Calibri"/>
        </w:rPr>
        <w:t>Document Control</w:t>
      </w:r>
    </w:p>
    <w:p>
      <w:pPr>
        <w:shd w:fill="FFF4CE"/>
        <w:pBdr>
          <w:top w:val="single" w:sz="4" w:space="6" w:color="D0D5DD"/>
          <w:left w:val="single" w:sz="4" w:space="6" w:color="D0D5DD"/>
          <w:bottom w:val="single" w:sz="4" w:space="6" w:color="D0D5DD"/>
          <w:right w:val="single" w:sz="4" w:space="6" w:color="D0D5DD"/>
        </w:pBdr>
        <w:spacing w:before="120" w:after="160"/>
        <w:ind w:left="115" w:right="115"/>
      </w:pPr>
      <w:r>
        <w:rPr>
          <w:rFonts w:ascii="Calibri" w:hAnsi="Calibri"/>
          <w:b/>
          <w:i w:val="0"/>
          <w:color w:val="1F4D78"/>
          <w:sz w:val="22"/>
        </w:rPr>
        <w:t xml:space="preserve">Release status: </w:t>
      </w:r>
      <w:r>
        <w:rPr>
          <w:rFonts w:ascii="Calibri" w:hAnsi="Calibri"/>
          <w:b w:val="0"/>
          <w:i w:val="0"/>
          <w:color w:val="000000"/>
          <w:sz w:val="22"/>
        </w:rPr>
        <w:t>This specification is a development baseline only after all mandatory approvers below record approval. Until then, it is a release candidate for final review.</w:t>
      </w:r>
    </w:p>
    <w:p>
      <w:pPr>
        <w:pStyle w:val="Heading2"/>
        <w:keepNext/>
      </w:pPr>
      <w:r>
        <w:rPr>
          <w:rFonts w:ascii="Calibri" w:hAnsi="Calibri"/>
        </w:rPr>
        <w:t>Document Information</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8"/>
              </w:rPr>
              <w:t>Field</w:t>
            </w:r>
          </w:p>
        </w:tc>
        <w:tc>
          <w:tcPr>
            <w:tcW w:type="dxa" w:w="666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8"/>
              </w:rPr>
              <w:t>Value</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Document</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Medilink System Requirements and Architecture Specification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Version</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2.1</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Status</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For Final Approval</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Target market</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Federal Republic of Nigeria</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Primary stack</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Next.js with TypeScript; PostgreSQL</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Document owner</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Medilink Product Owner</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Classification</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i w:val="0"/>
                <w:color w:val="000000"/>
                <w:sz w:val="18"/>
              </w:rPr>
              <w:t>Internal / Confidential until formally published</w:t>
            </w:r>
          </w:p>
        </w:tc>
      </w:tr>
    </w:tbl>
    <w:p>
      <w:pPr>
        <w:pStyle w:val="Heading2"/>
        <w:keepNext/>
      </w:pPr>
      <w:r>
        <w:rPr>
          <w:rFonts w:ascii="Calibri" w:hAnsi="Calibri"/>
        </w:rPr>
        <w:t>Version History</w:t>
      </w:r>
    </w:p>
    <w:tbl>
      <w:tblPr>
        <w:tblStyle w:val="TableGrid"/>
        <w:tblW w:type="dxa" w:w="9360"/>
        <w:tblLayout w:type="fixed"/>
        <w:tblLook w:firstColumn="1" w:firstRow="1" w:lastColumn="0" w:lastRow="0" w:noHBand="0" w:noVBand="1" w:val="04A0"/>
        <w:jc w:val="left"/>
        <w:tblInd w:w="120" w:type="dxa"/>
      </w:tblPr>
      <w:tblGrid>
        <w:gridCol w:w="900"/>
        <w:gridCol w:w="1200"/>
        <w:gridCol w:w="5460"/>
        <w:gridCol w:w="1800"/>
      </w:tblGrid>
      <w:tr>
        <w:trPr>
          <w:tblHeader w:val="true"/>
          <w:cantSplit/>
        </w:trPr>
        <w:tc>
          <w:tcPr>
            <w:tcW w:type="dxa" w:w="9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7"/>
              </w:rPr>
              <w:t>Version</w:t>
            </w:r>
          </w:p>
        </w:tc>
        <w:tc>
          <w:tcPr>
            <w:tcW w:type="dxa" w:w="12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7"/>
              </w:rPr>
              <w:t>Date</w:t>
            </w:r>
          </w:p>
        </w:tc>
        <w:tc>
          <w:tcPr>
            <w:tcW w:type="dxa" w:w="546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7"/>
              </w:rPr>
              <w:t>Summary</w:t>
            </w:r>
          </w:p>
        </w:tc>
        <w:tc>
          <w:tcPr>
            <w:tcW w:type="dxa" w:w="18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7"/>
              </w:rPr>
              <w:t>Owner</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1.0</w:t>
            </w:r>
          </w:p>
        </w:tc>
        <w:tc>
          <w:tcPr>
            <w:tcW w:type="dxa" w:w="12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Initial</w:t>
            </w:r>
          </w:p>
        </w:tc>
        <w:tc>
          <w:tcPr>
            <w:tcW w:type="dxa" w:w="546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Original concept: registration, requests, timesheets and wallet payments.</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Project team</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2.0</w:t>
            </w:r>
          </w:p>
        </w:tc>
        <w:tc>
          <w:tcPr>
            <w:tcW w:type="dxa" w:w="12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July 2026</w:t>
            </w:r>
          </w:p>
        </w:tc>
        <w:tc>
          <w:tcPr>
            <w:tcW w:type="dxa" w:w="546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Nigeria-focused modular architecture and prioritised system modules.</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Project team</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2.1</w:t>
            </w:r>
          </w:p>
        </w:tc>
        <w:tc>
          <w:tcPr>
            <w:tcW w:type="dxa" w:w="12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July 2026</w:t>
            </w:r>
          </w:p>
        </w:tc>
        <w:tc>
          <w:tcPr>
            <w:tcW w:type="dxa" w:w="546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Release governance, measurable requirements, deployment architecture, compliance decisions and acceptance gates added.</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Product and Engineering</w:t>
            </w:r>
          </w:p>
        </w:tc>
      </w:tr>
    </w:tbl>
    <w:p>
      <w:pPr>
        <w:pStyle w:val="Heading2"/>
        <w:keepNext/>
      </w:pPr>
      <w:r>
        <w:rPr>
          <w:rFonts w:ascii="Calibri" w:hAnsi="Calibri"/>
        </w:rPr>
        <w:t>Approval Record</w:t>
      </w:r>
    </w:p>
    <w:tbl>
      <w:tblPr>
        <w:tblStyle w:val="TableGrid"/>
        <w:tblW w:type="dxa" w:w="9360"/>
        <w:tblLayout w:type="fixed"/>
        <w:tblLook w:firstColumn="1" w:firstRow="1" w:lastColumn="0" w:lastRow="0" w:noHBand="0" w:noVBand="1" w:val="04A0"/>
        <w:jc w:val="left"/>
        <w:tblInd w:w="120" w:type="dxa"/>
      </w:tblPr>
      <w:tblGrid>
        <w:gridCol w:w="2000"/>
        <w:gridCol w:w="3560"/>
        <w:gridCol w:w="1200"/>
        <w:gridCol w:w="2600"/>
      </w:tblGrid>
      <w:tr>
        <w:trPr>
          <w:tblHeader w:val="true"/>
          <w:cantSplit/>
        </w:trPr>
        <w:tc>
          <w:tcPr>
            <w:tcW w:type="dxa" w:w="20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7"/>
              </w:rPr>
              <w:t>Mandatory approver</w:t>
            </w:r>
          </w:p>
        </w:tc>
        <w:tc>
          <w:tcPr>
            <w:tcW w:type="dxa" w:w="356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7"/>
              </w:rPr>
              <w:t>Responsibility</w:t>
            </w:r>
          </w:p>
        </w:tc>
        <w:tc>
          <w:tcPr>
            <w:tcW w:type="dxa" w:w="12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7"/>
              </w:rPr>
              <w:t>Decision</w:t>
            </w:r>
          </w:p>
        </w:tc>
        <w:tc>
          <w:tcPr>
            <w:tcW w:type="dxa" w:w="26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7"/>
              </w:rPr>
              <w:t>Name / Date</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Product Owner</w:t>
            </w:r>
          </w:p>
        </w:tc>
        <w:tc>
          <w:tcPr>
            <w:tcW w:type="dxa" w:w="356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Scope, priorities and commercial model</w:t>
            </w:r>
          </w:p>
        </w:tc>
        <w:tc>
          <w:tcPr>
            <w:tcW w:type="dxa" w:w="12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Pending</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________________</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Clinical Governance Lead</w:t>
            </w:r>
          </w:p>
        </w:tc>
        <w:tc>
          <w:tcPr>
            <w:tcW w:type="dxa" w:w="356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Patient-safety and practitioner-governance controls</w:t>
            </w:r>
          </w:p>
        </w:tc>
        <w:tc>
          <w:tcPr>
            <w:tcW w:type="dxa" w:w="12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Pending</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________________</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Technical Lead</w:t>
            </w:r>
          </w:p>
        </w:tc>
        <w:tc>
          <w:tcPr>
            <w:tcW w:type="dxa" w:w="356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Architecture, feasibility and delivery readiness</w:t>
            </w:r>
          </w:p>
        </w:tc>
        <w:tc>
          <w:tcPr>
            <w:tcW w:type="dxa" w:w="12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Pending</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________________</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Privacy / Legal Lead</w:t>
            </w:r>
          </w:p>
        </w:tc>
        <w:tc>
          <w:tcPr>
            <w:tcW w:type="dxa" w:w="356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NDPA, contracts, liability and regulatory obligations</w:t>
            </w:r>
          </w:p>
        </w:tc>
        <w:tc>
          <w:tcPr>
            <w:tcW w:type="dxa" w:w="12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Pending</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________________</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Finance / Payments Lead</w:t>
            </w:r>
          </w:p>
        </w:tc>
        <w:tc>
          <w:tcPr>
            <w:tcW w:type="dxa" w:w="356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Settlement, reconciliation, tax and provider model</w:t>
            </w:r>
          </w:p>
        </w:tc>
        <w:tc>
          <w:tcPr>
            <w:tcW w:type="dxa" w:w="12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Pending</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000000"/>
                <w:sz w:val="17"/>
              </w:rPr>
              <w:t>________________</w:t>
            </w:r>
          </w:p>
        </w:tc>
      </w:tr>
    </w:tbl>
    <w:p>
      <w:r>
        <w:rPr>
          <w:rFonts w:ascii="Calibri" w:hAnsi="Calibri"/>
        </w:rPr>
        <w:br w:type="page"/>
      </w:r>
    </w:p>
    <w:p>
      <w:pPr>
        <w:pStyle w:val="Heading1"/>
        <w:keepNext/>
        <w:pBdr>
          <w:bottom w:val="single" w:color="0F7C6C" w:sz="8" w:space="4"/>
        </w:pBdr>
        <w:spacing w:after="200" w:before="420"/>
      </w:pPr>
      <w:r>
        <w:rPr>
          <w:rFonts w:ascii="Calibri" w:hAnsi="Calibri"/>
          <w:b/>
          <w:bCs/>
          <w:color w:val="1B2A4A"/>
        </w:rPr>
        <w:t xml:space="preserve">Table of Contents</w:t>
      </w:r>
    </w:p>
    <w:p>
      <w:pPr>
        <w:spacing w:after="160"/>
      </w:pPr>
      <w:r>
        <w:rPr>
          <w:rFonts w:ascii="Calibri" w:hAnsi="Calibri"/>
        </w:rPr>
        <w:fldChar w:fldCharType="begin" w:dirty="true"/>
      </w:r>
      <w:r>
        <w:rPr>
          <w:rFonts w:ascii="Calibri" w:hAnsi="Calibri"/>
        </w:rPr>
        <w:instrText xml:space="preserve">TOC \o "1-3" \h \z \u</w:instrText>
      </w:r>
      <w:r>
        <w:rPr>
          <w:rFonts w:ascii="Calibri" w:hAnsi="Calibri"/>
        </w:rPr>
        <w:fldChar w:fldCharType="separate"/>
      </w:r>
      <w:r>
        <w:rPr>
          <w:rFonts w:ascii="Calibri" w:hAnsi="Calibri"/>
          <w:b w:val="0"/>
          <w:i w:val="0"/>
          <w:color w:val="667085"/>
          <w:sz w:val="18"/>
        </w:rPr>
        <w:t>Table of contents updates automatically when opened in Microsoft Word.</w:t>
      </w:r>
      <w:r>
        <w:rPr>
          <w:rFonts w:ascii="Calibri" w:hAnsi="Calibri"/>
        </w:rPr>
        <w:fldChar w:fldCharType="end"/>
      </w:r>
    </w:p>
    <w:p>
      <w:pPr>
        <w:pStyle w:val="Heading1"/>
        <w:keepNext/>
        <w:pBdr>
          <w:bottom w:val="single" w:color="0F7C6C" w:sz="8" w:space="4"/>
        </w:pBdr>
        <w:spacing w:after="200" w:before="420"/>
      </w:pPr>
      <w:r>
        <w:rPr>
          <w:rFonts w:ascii="Calibri" w:hAnsi="Calibri"/>
          <w:b/>
          <w:bCs/>
          <w:color w:val="1B2A4A"/>
        </w:rPr>
        <w:t xml:space="preserve">1. Executive Summary</w:t>
      </w:r>
    </w:p>
    <w:p>
      <w:pPr>
        <w:spacing w:after="160" w:line="288"/>
      </w:pPr>
      <w:r>
        <w:rPr>
          <w:rFonts w:ascii="Calibri" w:hAnsi="Calibri"/>
          <w:color w:val="26282B"/>
          <w:sz w:val="22"/>
          <w:szCs w:val="22"/>
        </w:rPr>
        <w:t xml:space="preserve">Medilink is a healthcare workforce and locum-management platform for the Nigerian market. It connects verified healthcare facilities — hospitals, clinics, laboratories — with verified medical practitioners for shifts, locum cover, and contracted engagements, and manages the full lifecycle from request to match, attendance, timesheet approval, and payment settlement.</w:t>
      </w:r>
    </w:p>
    <w:p>
      <w:pPr>
        <w:spacing w:after="160" w:line="288"/>
      </w:pPr>
      <w:r>
        <w:rPr>
          <w:rFonts w:ascii="Calibri" w:hAnsi="Calibri"/>
          <w:color w:val="26282B"/>
          <w:sz w:val="22"/>
          <w:szCs w:val="22"/>
        </w:rPr>
        <w:t xml:space="preserve">The system is explicitly not an electronic medical record (EMR) or patient-treatment platform. Its value lies in workforce coordination: reducing the time it takes a facility to fill a staffing gap, giving practitioners transparent access to legitimate paid work, and replacing today's informal, WhatsApp-driven locum market with a verified, auditable, and fairly-paid one.</w:t>
      </w:r>
    </w:p>
    <w:p>
      <w:pPr>
        <w:spacing w:after="160" w:line="288"/>
      </w:pPr>
      <w:r>
        <w:rPr>
          <w:rFonts w:ascii="Calibri" w:hAnsi="Calibri"/>
          <w:color w:val="26282B"/>
          <w:sz w:val="22"/>
          <w:szCs w:val="22"/>
        </w:rPr>
        <w:t xml:space="preserve">This document consolidates the original system concept, a critical review against the realities of Nigerian healthcare regulation and infrastructure, and the resulting technical specification. It defines what Medilink does, who it serves, how it is structured into modules, how those modules are sequenced for delivery, and the architectural principles that keep the platform extensible as new capabilities are added.</w:t>
      </w:r>
    </w:p>
    <w:p>
      <w:pPr>
        <w:spacing w:after="100" w:line="276"/>
      </w:pPr>
      <w:r>
        <w:rPr>
          <w:rFonts w:ascii="Calibri" w:hAnsi="Calibri"/>
          <w:b/>
          <w:bCs/>
          <w:color w:val="1B2A4A"/>
          <w:sz w:val="22"/>
          <w:szCs w:val="22"/>
        </w:rPr>
        <w:t xml:space="preserve">Core position: </w:t>
      </w:r>
      <w:r>
        <w:rPr>
          <w:rFonts w:ascii="Calibri" w:hAnsi="Calibri"/>
          <w:color w:val="26282B"/>
          <w:sz w:val="22"/>
          <w:szCs w:val="22"/>
        </w:rPr>
        <w:t xml:space="preserve">Medilink succeeds only if verified competence and patient safety are treated as first-class requirements, not administrative afterthoughts. A staffing platform for healthcare is a clinical-safety system before it is a marketplace.</w:t>
      </w:r>
    </w:p>
    <w:p>
      <w:pPr>
        <w:pStyle w:val="Heading1"/>
        <w:keepNext/>
        <w:pBdr>
          <w:bottom w:val="single" w:color="0F7C6C" w:sz="8" w:space="4"/>
        </w:pBdr>
        <w:spacing w:after="200" w:before="420"/>
      </w:pPr>
      <w:r>
        <w:rPr>
          <w:rFonts w:ascii="Calibri" w:hAnsi="Calibri"/>
          <w:b/>
          <w:bCs/>
          <w:color w:val="1B2A4A"/>
        </w:rPr>
        <w:t xml:space="preserve">2. Introduction and Purpose</w:t>
      </w:r>
    </w:p>
    <w:p>
      <w:pPr>
        <w:spacing w:after="160" w:line="288"/>
      </w:pPr>
      <w:r>
        <w:rPr>
          <w:rFonts w:ascii="Calibri" w:hAnsi="Calibri"/>
          <w:color w:val="26282B"/>
          <w:sz w:val="22"/>
          <w:szCs w:val="22"/>
        </w:rPr>
        <w:t xml:space="preserve">Healthcare facilities across Nigeria — particularly outside major urban centres — routinely face short-notice staffing gaps: night and weekend coverage, maternity leave, sudden resignations, or surge demand during disease outbreaks. Today, these gaps are filled informally, through personal networks and WhatsApp groups, with no standard way to verify a practitioner's licence, track hours accurately, or guarantee timely payment.</w:t>
      </w:r>
    </w:p>
    <w:p>
      <w:pPr>
        <w:spacing w:after="160" w:line="288"/>
      </w:pPr>
      <w:r>
        <w:rPr>
          <w:rFonts w:ascii="Calibri" w:hAnsi="Calibri"/>
          <w:color w:val="26282B"/>
          <w:sz w:val="22"/>
          <w:szCs w:val="22"/>
        </w:rPr>
        <w:t xml:space="preserve">Medilink's purpose is to formalise this market: to give facilities a fast, reliable way to find qualified, currently-licensed practitioners, and to give practitioners transparent, fairly-compensated access to available work — while producing an auditable record of who worked where, for how long, and what they were paid.</w:t>
      </w:r>
    </w:p>
    <w:p>
      <w:pPr>
        <w:pStyle w:val="Heading1"/>
        <w:keepNext/>
        <w:pBdr>
          <w:bottom w:val="single" w:color="0F7C6C" w:sz="8" w:space="4"/>
        </w:pBdr>
        <w:spacing w:after="200" w:before="420"/>
      </w:pPr>
      <w:r>
        <w:rPr>
          <w:rFonts w:ascii="Calibri" w:hAnsi="Calibri"/>
          <w:b/>
          <w:bCs/>
          <w:color w:val="1B2A4A"/>
        </w:rPr>
        <w:t xml:space="preserve">3. Nigerian Context and Societal Value</w:t>
      </w:r>
    </w:p>
    <w:p>
      <w:pPr>
        <w:pStyle w:val="Heading2"/>
        <w:keepNext/>
        <w:spacing w:after="140" w:before="300"/>
      </w:pPr>
      <w:r>
        <w:rPr>
          <w:rFonts w:ascii="Calibri" w:hAnsi="Calibri"/>
          <w:b/>
          <w:bCs/>
          <w:color w:val="1B2A4A"/>
        </w:rPr>
        <w:t xml:space="preserve">3.1 Value to Medical Practitioners</w:t>
      </w:r>
    </w:p>
    <w:p>
      <w:pPr>
        <w:pStyle w:val="ListParagraph"/>
        <w:numPr>
          <w:ilvl w:val="0"/>
          <w:numId w:val="1"/>
        </w:numPr>
        <w:spacing w:after="80" w:line="276"/>
      </w:pPr>
      <w:r>
        <w:rPr>
          <w:rFonts w:ascii="Calibri" w:hAnsi="Calibri"/>
          <w:color w:val="26282B"/>
          <w:sz w:val="22"/>
          <w:szCs w:val="22"/>
        </w:rPr>
        <w:t xml:space="preserve">Legitimate, discoverable access to locum and part-time opportunities beyond personal networks.</w:t>
      </w:r>
    </w:p>
    <w:p>
      <w:pPr>
        <w:pStyle w:val="ListParagraph"/>
        <w:numPr>
          <w:ilvl w:val="0"/>
          <w:numId w:val="1"/>
        </w:numPr>
        <w:spacing w:after="80" w:line="276"/>
      </w:pPr>
      <w:r>
        <w:rPr>
          <w:rFonts w:ascii="Calibri" w:hAnsi="Calibri"/>
          <w:color w:val="26282B"/>
          <w:sz w:val="22"/>
          <w:szCs w:val="22"/>
        </w:rPr>
        <w:t xml:space="preserve">Ability to publish availability, location, specialty, and preferred shift types.</w:t>
      </w:r>
    </w:p>
    <w:p>
      <w:pPr>
        <w:pStyle w:val="ListParagraph"/>
        <w:numPr>
          <w:ilvl w:val="0"/>
          <w:numId w:val="1"/>
        </w:numPr>
        <w:spacing w:after="80" w:line="276"/>
      </w:pPr>
      <w:r>
        <w:rPr>
          <w:rFonts w:ascii="Calibri" w:hAnsi="Calibri"/>
          <w:color w:val="26282B"/>
          <w:sz w:val="22"/>
          <w:szCs w:val="22"/>
        </w:rPr>
        <w:t xml:space="preserve">Reduced dependence on informal WhatsApp groups and word-of-mouth referrals for finding work.</w:t>
      </w:r>
    </w:p>
    <w:p>
      <w:pPr>
        <w:pStyle w:val="ListParagraph"/>
        <w:numPr>
          <w:ilvl w:val="0"/>
          <w:numId w:val="1"/>
        </w:numPr>
        <w:spacing w:after="80" w:line="276"/>
      </w:pPr>
      <w:r>
        <w:rPr>
          <w:rFonts w:ascii="Calibri" w:hAnsi="Calibri"/>
          <w:color w:val="26282B"/>
          <w:sz w:val="22"/>
          <w:szCs w:val="22"/>
        </w:rPr>
        <w:t xml:space="preserve">Visible, agreed rates before a shift is accepted — removing after-the-fact pay disputes.</w:t>
      </w:r>
    </w:p>
    <w:p>
      <w:pPr>
        <w:pStyle w:val="ListParagraph"/>
        <w:numPr>
          <w:ilvl w:val="0"/>
          <w:numId w:val="1"/>
        </w:numPr>
        <w:spacing w:after="80" w:line="276"/>
      </w:pPr>
      <w:r>
        <w:rPr>
          <w:rFonts w:ascii="Calibri" w:hAnsi="Calibri"/>
          <w:color w:val="26282B"/>
          <w:sz w:val="22"/>
          <w:szCs w:val="22"/>
        </w:rPr>
        <w:t xml:space="preserve">Reliable digital records of hours worked and amounts earned, useful for loans, tax filings, and career history.</w:t>
      </w:r>
    </w:p>
    <w:p>
      <w:pPr>
        <w:pStyle w:val="ListParagraph"/>
        <w:numPr>
          <w:ilvl w:val="0"/>
          <w:numId w:val="1"/>
        </w:numPr>
        <w:spacing w:after="80" w:line="276"/>
      </w:pPr>
      <w:r>
        <w:rPr>
          <w:rFonts w:ascii="Calibri" w:hAnsi="Calibri"/>
          <w:color w:val="26282B"/>
          <w:sz w:val="22"/>
          <w:szCs w:val="22"/>
        </w:rPr>
        <w:t xml:space="preserve">Reduced incidence of delayed or disputed payment for locum and contract work.</w:t>
      </w:r>
    </w:p>
    <w:p>
      <w:pPr>
        <w:pStyle w:val="ListParagraph"/>
        <w:numPr>
          <w:ilvl w:val="0"/>
          <w:numId w:val="1"/>
        </w:numPr>
        <w:spacing w:after="80" w:line="276"/>
      </w:pPr>
      <w:r>
        <w:rPr>
          <w:rFonts w:ascii="Calibri" w:hAnsi="Calibri"/>
          <w:color w:val="26282B"/>
          <w:sz w:val="22"/>
          <w:szCs w:val="22"/>
        </w:rPr>
        <w:t xml:space="preserve">Verified employment history that benefits early-career doctors and nurses in particular.</w:t>
      </w:r>
    </w:p>
    <w:p>
      <w:pPr>
        <w:pStyle w:val="ListParagraph"/>
        <w:numPr>
          <w:ilvl w:val="0"/>
          <w:numId w:val="1"/>
        </w:numPr>
        <w:spacing w:after="80" w:line="276"/>
      </w:pPr>
      <w:r>
        <w:rPr>
          <w:rFonts w:ascii="Calibri" w:hAnsi="Calibri"/>
          <w:color w:val="26282B"/>
          <w:sz w:val="22"/>
          <w:szCs w:val="22"/>
        </w:rPr>
        <w:t xml:space="preserve">Automated reminders as licences, certifications, or indemnity cover approach expiry.</w:t>
      </w:r>
    </w:p>
    <w:p>
      <w:pPr>
        <w:pStyle w:val="ListParagraph"/>
        <w:numPr>
          <w:ilvl w:val="0"/>
          <w:numId w:val="1"/>
        </w:numPr>
        <w:spacing w:after="80" w:line="276"/>
      </w:pPr>
      <w:r>
        <w:rPr>
          <w:rFonts w:ascii="Calibri" w:hAnsi="Calibri"/>
          <w:color w:val="26282B"/>
          <w:sz w:val="22"/>
          <w:szCs w:val="22"/>
        </w:rPr>
        <w:t xml:space="preserve">Greater visibility of opportunities outside major cities, including underserved states.</w:t>
      </w:r>
    </w:p>
    <w:p>
      <w:pPr>
        <w:pStyle w:val="ListParagraph"/>
        <w:numPr>
          <w:ilvl w:val="0"/>
          <w:numId w:val="1"/>
        </w:numPr>
        <w:spacing w:after="80" w:line="276"/>
      </w:pPr>
      <w:r>
        <w:rPr>
          <w:rFonts w:ascii="Calibri" w:hAnsi="Calibri"/>
          <w:color w:val="26282B"/>
          <w:sz w:val="22"/>
          <w:szCs w:val="22"/>
        </w:rPr>
        <w:t xml:space="preserve">A potential channel for diaspora practitioners to identify remote or short-term opportunities, subject to licensing rules.</w:t>
      </w:r>
    </w:p>
    <w:p>
      <w:pPr>
        <w:pStyle w:val="Heading2"/>
        <w:keepNext/>
        <w:spacing w:after="140" w:before="300"/>
      </w:pPr>
      <w:r>
        <w:rPr>
          <w:rFonts w:ascii="Calibri" w:hAnsi="Calibri"/>
          <w:b/>
          <w:bCs/>
          <w:color w:val="1B2A4A"/>
        </w:rPr>
        <w:t xml:space="preserve">3.2 Value to Healthcare Facilities</w:t>
      </w:r>
    </w:p>
    <w:p>
      <w:pPr>
        <w:pStyle w:val="ListParagraph"/>
        <w:numPr>
          <w:ilvl w:val="0"/>
          <w:numId w:val="1"/>
        </w:numPr>
        <w:spacing w:after="80" w:line="276"/>
      </w:pPr>
      <w:r>
        <w:rPr>
          <w:rFonts w:ascii="Calibri" w:hAnsi="Calibri"/>
          <w:color w:val="26282B"/>
          <w:sz w:val="22"/>
          <w:szCs w:val="22"/>
        </w:rPr>
        <w:t xml:space="preserve">Faster resolution of emergency, night, weekend, and maternity-leave staffing gaps.</w:t>
      </w:r>
    </w:p>
    <w:p>
      <w:pPr>
        <w:pStyle w:val="ListParagraph"/>
        <w:numPr>
          <w:ilvl w:val="0"/>
          <w:numId w:val="1"/>
        </w:numPr>
        <w:spacing w:after="80" w:line="276"/>
      </w:pPr>
      <w:r>
        <w:rPr>
          <w:rFonts w:ascii="Calibri" w:hAnsi="Calibri"/>
          <w:color w:val="26282B"/>
          <w:sz w:val="22"/>
          <w:szCs w:val="22"/>
        </w:rPr>
        <w:t xml:space="preserve">Search and filter practitioners by specialty, licence status, experience, distance, and availability.</w:t>
      </w:r>
    </w:p>
    <w:p>
      <w:pPr>
        <w:pStyle w:val="ListParagraph"/>
        <w:numPr>
          <w:ilvl w:val="0"/>
          <w:numId w:val="1"/>
        </w:numPr>
        <w:spacing w:after="80" w:line="276"/>
      </w:pPr>
      <w:r>
        <w:rPr>
          <w:rFonts w:ascii="Calibri" w:hAnsi="Calibri"/>
          <w:color w:val="26282B"/>
          <w:sz w:val="22"/>
          <w:szCs w:val="22"/>
        </w:rPr>
        <w:t xml:space="preserve">Materially reduced risk of engaging unverified or incorrectly qualified personnel.</w:t>
      </w:r>
    </w:p>
    <w:p>
      <w:pPr>
        <w:pStyle w:val="ListParagraph"/>
        <w:numPr>
          <w:ilvl w:val="0"/>
          <w:numId w:val="1"/>
        </w:numPr>
        <w:spacing w:after="80" w:line="276"/>
      </w:pPr>
      <w:r>
        <w:rPr>
          <w:rFonts w:ascii="Calibri" w:hAnsi="Calibri"/>
          <w:color w:val="26282B"/>
          <w:sz w:val="22"/>
          <w:szCs w:val="22"/>
        </w:rPr>
        <w:t xml:space="preserve">Approved electronic timesheets and clean payment records in place of manual paperwork.</w:t>
      </w:r>
    </w:p>
    <w:p>
      <w:pPr>
        <w:pStyle w:val="ListParagraph"/>
        <w:numPr>
          <w:ilvl w:val="0"/>
          <w:numId w:val="1"/>
        </w:numPr>
        <w:spacing w:after="80" w:line="276"/>
      </w:pPr>
      <w:r>
        <w:rPr>
          <w:rFonts w:ascii="Calibri" w:hAnsi="Calibri"/>
          <w:color w:val="26282B"/>
          <w:sz w:val="22"/>
          <w:szCs w:val="22"/>
        </w:rPr>
        <w:t xml:space="preserve">Attendance and no-show tracking for accountability.</w:t>
      </w:r>
    </w:p>
    <w:p>
      <w:pPr>
        <w:pStyle w:val="ListParagraph"/>
        <w:numPr>
          <w:ilvl w:val="0"/>
          <w:numId w:val="1"/>
        </w:numPr>
        <w:spacing w:after="80" w:line="276"/>
      </w:pPr>
      <w:r>
        <w:rPr>
          <w:rFonts w:ascii="Calibri" w:hAnsi="Calibri"/>
          <w:color w:val="26282B"/>
          <w:sz w:val="22"/>
          <w:szCs w:val="22"/>
        </w:rPr>
        <w:t xml:space="preserve">Cross-branch comparison of staffing needs and costs.</w:t>
      </w:r>
    </w:p>
    <w:p>
      <w:pPr>
        <w:pStyle w:val="ListParagraph"/>
        <w:numPr>
          <w:ilvl w:val="0"/>
          <w:numId w:val="1"/>
        </w:numPr>
        <w:spacing w:after="80" w:line="276"/>
      </w:pPr>
      <w:r>
        <w:rPr>
          <w:rFonts w:ascii="Calibri" w:hAnsi="Calibri"/>
          <w:color w:val="26282B"/>
          <w:sz w:val="22"/>
          <w:szCs w:val="22"/>
        </w:rPr>
        <w:t xml:space="preserve">A maintained pool of preferred, trusted practitioners for repeat engagement.</w:t>
      </w:r>
    </w:p>
    <w:p>
      <w:pPr>
        <w:pStyle w:val="ListParagraph"/>
        <w:numPr>
          <w:ilvl w:val="0"/>
          <w:numId w:val="1"/>
        </w:numPr>
        <w:spacing w:after="80" w:line="276"/>
      </w:pPr>
      <w:r>
        <w:rPr>
          <w:rFonts w:ascii="Calibri" w:hAnsi="Calibri"/>
          <w:color w:val="26282B"/>
          <w:sz w:val="22"/>
          <w:szCs w:val="22"/>
        </w:rPr>
        <w:t xml:space="preserve">A fast replacement path when an assigned practitioner cancels.</w:t>
      </w:r>
    </w:p>
    <w:p>
      <w:pPr>
        <w:pStyle w:val="ListParagraph"/>
        <w:numPr>
          <w:ilvl w:val="0"/>
          <w:numId w:val="1"/>
        </w:numPr>
        <w:spacing w:after="80" w:line="276"/>
      </w:pPr>
      <w:r>
        <w:rPr>
          <w:rFonts w:ascii="Calibri" w:hAnsi="Calibri"/>
          <w:color w:val="26282B"/>
          <w:sz w:val="22"/>
          <w:szCs w:val="22"/>
        </w:rPr>
        <w:t xml:space="preserve">Reduced administrative overhead from phone calls, paper timesheets, and manual pay calculations.</w:t>
      </w:r>
    </w:p>
    <w:p>
      <w:pPr>
        <w:pStyle w:val="Heading2"/>
        <w:keepNext/>
        <w:spacing w:after="140" w:before="300"/>
      </w:pPr>
      <w:r>
        <w:rPr>
          <w:rFonts w:ascii="Calibri" w:hAnsi="Calibri"/>
          <w:b/>
          <w:bCs/>
          <w:color w:val="1B2A4A"/>
        </w:rPr>
        <w:t xml:space="preserve">3.3 Value to Nigerian Society</w:t>
      </w:r>
    </w:p>
    <w:p>
      <w:pPr>
        <w:spacing w:after="160" w:line="288"/>
      </w:pPr>
      <w:r>
        <w:rPr>
          <w:rFonts w:ascii="Calibri" w:hAnsi="Calibri"/>
          <w:color w:val="26282B"/>
          <w:sz w:val="22"/>
          <w:szCs w:val="22"/>
        </w:rPr>
        <w:t xml:space="preserve">Implemented with strong clinical governance, Medilink can plausibly contribute to:</w:t>
      </w:r>
    </w:p>
    <w:p>
      <w:pPr>
        <w:pStyle w:val="ListParagraph"/>
        <w:numPr>
          <w:ilvl w:val="0"/>
          <w:numId w:val="1"/>
        </w:numPr>
        <w:spacing w:after="80" w:line="276"/>
      </w:pPr>
      <w:r>
        <w:rPr>
          <w:rFonts w:ascii="Calibri" w:hAnsi="Calibri"/>
          <w:color w:val="26282B"/>
          <w:sz w:val="22"/>
          <w:szCs w:val="22"/>
        </w:rPr>
        <w:t xml:space="preserve">Fewer cancelled clinics and unstaffed shifts.</w:t>
      </w:r>
    </w:p>
    <w:p>
      <w:pPr>
        <w:pStyle w:val="ListParagraph"/>
        <w:numPr>
          <w:ilvl w:val="0"/>
          <w:numId w:val="1"/>
        </w:numPr>
        <w:spacing w:after="80" w:line="276"/>
      </w:pPr>
      <w:r>
        <w:rPr>
          <w:rFonts w:ascii="Calibri" w:hAnsi="Calibri"/>
          <w:color w:val="26282B"/>
          <w:sz w:val="22"/>
          <w:szCs w:val="22"/>
        </w:rPr>
        <w:t xml:space="preserve">Improved access to care in underserved communities through better distribution of available practitioners.</w:t>
      </w:r>
    </w:p>
    <w:p>
      <w:pPr>
        <w:pStyle w:val="ListParagraph"/>
        <w:numPr>
          <w:ilvl w:val="0"/>
          <w:numId w:val="1"/>
        </w:numPr>
        <w:spacing w:after="80" w:line="276"/>
      </w:pPr>
      <w:r>
        <w:rPr>
          <w:rFonts w:ascii="Calibri" w:hAnsi="Calibri"/>
          <w:color w:val="26282B"/>
          <w:sz w:val="22"/>
          <w:szCs w:val="22"/>
        </w:rPr>
        <w:t xml:space="preserve">Reduced patient waiting times caused by staffing shortages.</w:t>
      </w:r>
    </w:p>
    <w:p>
      <w:pPr>
        <w:pStyle w:val="ListParagraph"/>
        <w:numPr>
          <w:ilvl w:val="0"/>
          <w:numId w:val="1"/>
        </w:numPr>
        <w:spacing w:after="80" w:line="276"/>
      </w:pPr>
      <w:r>
        <w:rPr>
          <w:rFonts w:ascii="Calibri" w:hAnsi="Calibri"/>
          <w:color w:val="26282B"/>
          <w:sz w:val="22"/>
          <w:szCs w:val="22"/>
        </w:rPr>
        <w:t xml:space="preserve">A lower risk of facilities engaging unlicensed practitioners.</w:t>
      </w:r>
    </w:p>
    <w:p>
      <w:pPr>
        <w:pStyle w:val="ListParagraph"/>
        <w:numPr>
          <w:ilvl w:val="0"/>
          <w:numId w:val="1"/>
        </w:numPr>
        <w:spacing w:after="80" w:line="276"/>
      </w:pPr>
      <w:r>
        <w:rPr>
          <w:rFonts w:ascii="Calibri" w:hAnsi="Calibri"/>
          <w:color w:val="26282B"/>
          <w:sz w:val="22"/>
          <w:szCs w:val="22"/>
        </w:rPr>
        <w:t xml:space="preserve">Greater transparency around healthcare work and payment practices.</w:t>
      </w:r>
    </w:p>
    <w:p>
      <w:pPr>
        <w:pStyle w:val="ListParagraph"/>
        <w:numPr>
          <w:ilvl w:val="0"/>
          <w:numId w:val="1"/>
        </w:numPr>
        <w:spacing w:after="80" w:line="276"/>
      </w:pPr>
      <w:r>
        <w:rPr>
          <w:rFonts w:ascii="Calibri" w:hAnsi="Calibri"/>
          <w:color w:val="26282B"/>
          <w:sz w:val="22"/>
          <w:szCs w:val="22"/>
        </w:rPr>
        <w:t xml:space="preserve">Anonymised workforce data showing where specific specialties are most needed.</w:t>
      </w:r>
    </w:p>
    <w:p>
      <w:pPr>
        <w:pStyle w:val="ListParagraph"/>
        <w:numPr>
          <w:ilvl w:val="0"/>
          <w:numId w:val="1"/>
        </w:numPr>
        <w:spacing w:after="80" w:line="276"/>
      </w:pPr>
      <w:r>
        <w:rPr>
          <w:rFonts w:ascii="Calibri" w:hAnsi="Calibri"/>
          <w:color w:val="26282B"/>
          <w:sz w:val="22"/>
          <w:szCs w:val="22"/>
        </w:rPr>
        <w:t xml:space="preserve">Better continuity of service during emergencies or sudden staff shortages.</w:t>
      </w:r>
    </w:p>
    <w:p>
      <w:pPr>
        <w:spacing w:after="160" w:line="288"/>
      </w:pPr>
      <w:r>
        <w:rPr>
          <w:rFonts w:ascii="Calibri" w:hAnsi="Calibri"/>
          <w:color w:val="26282B"/>
          <w:sz w:val="22"/>
          <w:szCs w:val="22"/>
        </w:rPr>
        <w:t xml:space="preserve">This directly supports the Federal Ministry of Health and Social Welfare's stated goal of accessible, efficient, and affordable healthcare — but only to the extent the platform is honest about its limits. Medilink affects care indirectly, through workforce efficiency; it does not touch clinical quality or treatment decisions, and it should not be presented as though it does.</w:t>
      </w:r>
    </w:p>
    <w:p>
      <w:pPr>
        <w:pStyle w:val="Heading1"/>
        <w:keepNext/>
        <w:pBdr>
          <w:bottom w:val="single" w:color="0F7C6C" w:sz="8" w:space="4"/>
        </w:pBdr>
        <w:spacing w:after="200" w:before="420"/>
      </w:pPr>
      <w:r>
        <w:rPr>
          <w:rFonts w:ascii="Calibri" w:hAnsi="Calibri"/>
          <w:b/>
          <w:bCs/>
          <w:color w:val="1B2A4A"/>
        </w:rPr>
        <w:t xml:space="preserve">4. Scope</w:t>
      </w:r>
    </w:p>
    <w:p>
      <w:pPr>
        <w:pStyle w:val="Heading2"/>
        <w:keepNext/>
        <w:spacing w:after="140" w:before="300"/>
      </w:pPr>
      <w:r>
        <w:rPr>
          <w:rFonts w:ascii="Calibri" w:hAnsi="Calibri"/>
          <w:b/>
          <w:bCs/>
          <w:color w:val="1B2A4A"/>
        </w:rPr>
        <w:t xml:space="preserve">4.1 In Scope</w:t>
      </w:r>
    </w:p>
    <w:p>
      <w:pPr>
        <w:pStyle w:val="ListParagraph"/>
        <w:numPr>
          <w:ilvl w:val="0"/>
          <w:numId w:val="1"/>
        </w:numPr>
        <w:spacing w:after="80" w:line="276"/>
      </w:pPr>
      <w:r>
        <w:rPr>
          <w:rFonts w:ascii="Calibri" w:hAnsi="Calibri"/>
          <w:color w:val="26282B"/>
          <w:sz w:val="22"/>
          <w:szCs w:val="22"/>
        </w:rPr>
        <w:t xml:space="preserve">Registration and verification of healthcare facilities and medical practitioners.</w:t>
      </w:r>
    </w:p>
    <w:p>
      <w:pPr>
        <w:pStyle w:val="ListParagraph"/>
        <w:numPr>
          <w:ilvl w:val="0"/>
          <w:numId w:val="1"/>
        </w:numPr>
        <w:spacing w:after="80" w:line="276"/>
      </w:pPr>
      <w:r>
        <w:rPr>
          <w:rFonts w:ascii="Calibri" w:hAnsi="Calibri"/>
          <w:color w:val="26282B"/>
          <w:sz w:val="22"/>
          <w:szCs w:val="22"/>
        </w:rPr>
        <w:t xml:space="preserve">Publishing, matching, and confirming staffing requests and shifts.</w:t>
      </w:r>
    </w:p>
    <w:p>
      <w:pPr>
        <w:pStyle w:val="ListParagraph"/>
        <w:numPr>
          <w:ilvl w:val="0"/>
          <w:numId w:val="1"/>
        </w:numPr>
        <w:spacing w:after="80" w:line="276"/>
      </w:pPr>
      <w:r>
        <w:rPr>
          <w:rFonts w:ascii="Calibri" w:hAnsi="Calibri"/>
          <w:color w:val="26282B"/>
          <w:sz w:val="22"/>
          <w:szCs w:val="22"/>
        </w:rPr>
        <w:t xml:space="preserve">Availability and scheduling management for practitioners and facilities.</w:t>
      </w:r>
    </w:p>
    <w:p>
      <w:pPr>
        <w:pStyle w:val="ListParagraph"/>
        <w:numPr>
          <w:ilvl w:val="0"/>
          <w:numId w:val="1"/>
        </w:numPr>
        <w:spacing w:after="80" w:line="276"/>
      </w:pPr>
      <w:r>
        <w:rPr>
          <w:rFonts w:ascii="Calibri" w:hAnsi="Calibri"/>
          <w:color w:val="26282B"/>
          <w:sz w:val="22"/>
          <w:szCs w:val="22"/>
        </w:rPr>
        <w:t xml:space="preserve">Attendance capture and timesheet approval.</w:t>
      </w:r>
    </w:p>
    <w:p>
      <w:pPr>
        <w:pStyle w:val="ListParagraph"/>
        <w:numPr>
          <w:ilvl w:val="0"/>
          <w:numId w:val="1"/>
        </w:numPr>
        <w:spacing w:after="80" w:line="276"/>
      </w:pPr>
      <w:r>
        <w:rPr>
          <w:rFonts w:ascii="Calibri" w:hAnsi="Calibri"/>
          <w:color w:val="26282B"/>
          <w:sz w:val="22"/>
          <w:szCs w:val="22"/>
        </w:rPr>
        <w:t xml:space="preserve">Rate agreement, contracting, billing, and payment settlement via licensed Nigerian payment providers.</w:t>
      </w:r>
    </w:p>
    <w:p>
      <w:pPr>
        <w:pStyle w:val="ListParagraph"/>
        <w:numPr>
          <w:ilvl w:val="0"/>
          <w:numId w:val="1"/>
        </w:numPr>
        <w:spacing w:after="80" w:line="276"/>
      </w:pPr>
      <w:r>
        <w:rPr>
          <w:rFonts w:ascii="Calibri" w:hAnsi="Calibri"/>
          <w:color w:val="26282B"/>
          <w:sz w:val="22"/>
          <w:szCs w:val="22"/>
        </w:rPr>
        <w:t xml:space="preserve">Cancellation, replacement, and dispute handling.</w:t>
      </w:r>
    </w:p>
    <w:p>
      <w:pPr>
        <w:pStyle w:val="ListParagraph"/>
        <w:numPr>
          <w:ilvl w:val="0"/>
          <w:numId w:val="1"/>
        </w:numPr>
        <w:spacing w:after="80" w:line="276"/>
      </w:pPr>
      <w:r>
        <w:rPr>
          <w:rFonts w:ascii="Calibri" w:hAnsi="Calibri"/>
          <w:color w:val="26282B"/>
          <w:sz w:val="22"/>
          <w:szCs w:val="22"/>
        </w:rPr>
        <w:t xml:space="preserve">Notifications, audit logging, and regulatory compliance controls.</w:t>
      </w:r>
    </w:p>
    <w:p>
      <w:pPr>
        <w:pStyle w:val="Heading2"/>
        <w:keepNext/>
        <w:spacing w:after="140" w:before="300"/>
      </w:pPr>
      <w:r>
        <w:rPr>
          <w:rFonts w:ascii="Calibri" w:hAnsi="Calibri"/>
          <w:b/>
          <w:bCs/>
          <w:color w:val="1B2A4A"/>
        </w:rPr>
        <w:t xml:space="preserve">4.2 Out of Scope (Phase 1)</w:t>
      </w:r>
    </w:p>
    <w:p>
      <w:pPr>
        <w:pStyle w:val="ListParagraph"/>
        <w:numPr>
          <w:ilvl w:val="0"/>
          <w:numId w:val="1"/>
        </w:numPr>
        <w:spacing w:after="80" w:line="276"/>
      </w:pPr>
      <w:r>
        <w:rPr>
          <w:rFonts w:ascii="Calibri" w:hAnsi="Calibri"/>
          <w:color w:val="26282B"/>
          <w:sz w:val="22"/>
          <w:szCs w:val="22"/>
        </w:rPr>
        <w:t xml:space="preserve">Electronic medical records, patient charting, or treatment documentation.</w:t>
      </w:r>
    </w:p>
    <w:p>
      <w:pPr>
        <w:pStyle w:val="ListParagraph"/>
        <w:numPr>
          <w:ilvl w:val="0"/>
          <w:numId w:val="1"/>
        </w:numPr>
        <w:spacing w:after="80" w:line="276"/>
      </w:pPr>
      <w:r>
        <w:rPr>
          <w:rFonts w:ascii="Calibri" w:hAnsi="Calibri"/>
          <w:color w:val="26282B"/>
          <w:sz w:val="22"/>
          <w:szCs w:val="22"/>
        </w:rPr>
        <w:t xml:space="preserve">Clinical decision support of any kind.</w:t>
      </w:r>
    </w:p>
    <w:p>
      <w:pPr>
        <w:pStyle w:val="ListParagraph"/>
        <w:numPr>
          <w:ilvl w:val="0"/>
          <w:numId w:val="1"/>
        </w:numPr>
        <w:spacing w:after="80" w:line="276"/>
      </w:pPr>
      <w:r>
        <w:rPr>
          <w:rFonts w:ascii="Calibri" w:hAnsi="Calibri"/>
          <w:color w:val="26282B"/>
          <w:sz w:val="22"/>
          <w:szCs w:val="22"/>
        </w:rPr>
        <w:t xml:space="preserve">Operating as a licensed deposit-taking or stored-value wallet (see Section 8.4).</w:t>
      </w:r>
    </w:p>
    <w:p>
      <w:pPr>
        <w:pStyle w:val="ListParagraph"/>
        <w:numPr>
          <w:ilvl w:val="0"/>
          <w:numId w:val="1"/>
        </w:numPr>
        <w:spacing w:after="80" w:line="276"/>
      </w:pPr>
      <w:r>
        <w:rPr>
          <w:rFonts w:ascii="Calibri" w:hAnsi="Calibri"/>
          <w:color w:val="26282B"/>
          <w:sz w:val="22"/>
          <w:szCs w:val="22"/>
        </w:rPr>
        <w:t xml:space="preserve">Telemedicine consultations (deferred to a later phase — see Section 11).</w:t>
      </w:r>
    </w:p>
    <w:p>
      <w:pPr>
        <w:pStyle w:val="Heading1"/>
        <w:keepNext/>
        <w:pBdr>
          <w:bottom w:val="single" w:color="0F7C6C" w:sz="8" w:space="4"/>
        </w:pBdr>
        <w:spacing w:after="200" w:before="420"/>
      </w:pPr>
      <w:r>
        <w:rPr>
          <w:rFonts w:ascii="Calibri" w:hAnsi="Calibri"/>
          <w:b/>
          <w:bCs/>
          <w:color w:val="1B2A4A"/>
        </w:rPr>
        <w:t xml:space="preserve">5. System Overview and Core Workflow</w:t>
      </w:r>
    </w:p>
    <w:p>
      <w:pPr>
        <w:spacing w:after="160" w:line="288"/>
      </w:pPr>
      <w:r>
        <w:rPr>
          <w:rFonts w:ascii="Calibri" w:hAnsi="Calibri"/>
          <w:color w:val="26282B"/>
          <w:sz w:val="22"/>
          <w:szCs w:val="22"/>
        </w:rPr>
        <w:t xml:space="preserve">Medilink's essential workflow — the one journey the first release must prove end-to-end — is as follows:</w:t>
      </w:r>
    </w:p>
    <w:p>
      <w:pPr>
        <w:pStyle w:val="ListParagraph"/>
        <w:numPr>
          <w:ilvl w:val="0"/>
          <w:numId w:val="1"/>
        </w:numPr>
        <w:spacing w:after="80" w:line="276"/>
      </w:pPr>
      <w:r>
        <w:rPr>
          <w:rFonts w:ascii="Calibri" w:hAnsi="Calibri"/>
          <w:color w:val="26282B"/>
          <w:sz w:val="22"/>
          <w:szCs w:val="22"/>
        </w:rPr>
        <w:t xml:space="preserve">1. A verified facility publishes a staffing request for a shift or engagement.</w:t>
      </w:r>
    </w:p>
    <w:p>
      <w:pPr>
        <w:pStyle w:val="ListParagraph"/>
        <w:numPr>
          <w:ilvl w:val="0"/>
          <w:numId w:val="1"/>
        </w:numPr>
        <w:spacing w:after="80" w:line="276"/>
      </w:pPr>
      <w:r>
        <w:rPr>
          <w:rFonts w:ascii="Calibri" w:hAnsi="Calibri"/>
          <w:color w:val="26282B"/>
          <w:sz w:val="22"/>
          <w:szCs w:val="22"/>
        </w:rPr>
        <w:t xml:space="preserve">2. Eligible, currently-licensed practitioners matching the request are identified and invited.</w:t>
      </w:r>
    </w:p>
    <w:p>
      <w:pPr>
        <w:pStyle w:val="ListParagraph"/>
        <w:numPr>
          <w:ilvl w:val="0"/>
          <w:numId w:val="1"/>
        </w:numPr>
        <w:spacing w:after="80" w:line="276"/>
      </w:pPr>
      <w:r>
        <w:rPr>
          <w:rFonts w:ascii="Calibri" w:hAnsi="Calibri"/>
          <w:color w:val="26282B"/>
          <w:sz w:val="22"/>
          <w:szCs w:val="22"/>
        </w:rPr>
        <w:t xml:space="preserve">3. Interested practitioners apply or accept; the facility reviews and confirms the assignment.</w:t>
      </w:r>
    </w:p>
    <w:p>
      <w:pPr>
        <w:pStyle w:val="ListParagraph"/>
        <w:numPr>
          <w:ilvl w:val="0"/>
          <w:numId w:val="1"/>
        </w:numPr>
        <w:spacing w:after="80" w:line="276"/>
      </w:pPr>
      <w:r>
        <w:rPr>
          <w:rFonts w:ascii="Calibri" w:hAnsi="Calibri"/>
          <w:color w:val="26282B"/>
          <w:sz w:val="22"/>
          <w:szCs w:val="22"/>
        </w:rPr>
        <w:t xml:space="preserve">4. The practitioner attends the shift; attendance and hours are recorded.</w:t>
      </w:r>
    </w:p>
    <w:p>
      <w:pPr>
        <w:pStyle w:val="ListParagraph"/>
        <w:numPr>
          <w:ilvl w:val="0"/>
          <w:numId w:val="1"/>
        </w:numPr>
        <w:spacing w:after="80" w:line="276"/>
      </w:pPr>
      <w:r>
        <w:rPr>
          <w:rFonts w:ascii="Calibri" w:hAnsi="Calibri"/>
          <w:color w:val="26282B"/>
          <w:sz w:val="22"/>
          <w:szCs w:val="22"/>
        </w:rPr>
        <w:t xml:space="preserve">5. Both practitioner and facility approve the resulting timesheet.</w:t>
      </w:r>
    </w:p>
    <w:p>
      <w:pPr>
        <w:pStyle w:val="ListParagraph"/>
        <w:numPr>
          <w:ilvl w:val="0"/>
          <w:numId w:val="1"/>
        </w:numPr>
        <w:spacing w:after="80" w:line="276"/>
      </w:pPr>
      <w:r>
        <w:rPr>
          <w:rFonts w:ascii="Calibri" w:hAnsi="Calibri"/>
          <w:color w:val="26282B"/>
          <w:sz w:val="22"/>
          <w:szCs w:val="22"/>
        </w:rPr>
        <w:t xml:space="preserve">6. Medilink calculates the amount due and settles payment through a licensed payment provider.</w:t>
      </w:r>
    </w:p>
    <w:p>
      <w:pPr>
        <w:pStyle w:val="ListParagraph"/>
        <w:numPr>
          <w:ilvl w:val="0"/>
          <w:numId w:val="1"/>
        </w:numPr>
        <w:spacing w:after="80" w:line="276"/>
      </w:pPr>
      <w:r>
        <w:rPr>
          <w:rFonts w:ascii="Calibri" w:hAnsi="Calibri"/>
          <w:color w:val="26282B"/>
          <w:sz w:val="22"/>
          <w:szCs w:val="22"/>
        </w:rPr>
        <w:t xml:space="preserve">7. The full transaction — request, match, attendance, approval, payment — remains available for reporting and dispute resolution.</w:t>
      </w:r>
    </w:p>
    <w:p>
      <w:pPr>
        <w:spacing w:after="160" w:line="288"/>
      </w:pPr>
      <w:r>
        <w:rPr>
          <w:rFonts w:ascii="Calibri" w:hAnsi="Calibri"/>
          <w:color w:val="26282B"/>
          <w:sz w:val="22"/>
          <w:szCs w:val="22"/>
        </w:rPr>
        <w:t xml:space="preserve"/>
      </w:r>
    </w:p>
    <w:p>
      <w:pPr>
        <w:spacing w:after="160" w:line="288"/>
      </w:pPr>
      <w:r>
        <w:rPr>
          <w:rFonts w:ascii="Calibri" w:hAnsi="Calibri"/>
          <w:b/>
          <w:bCs/>
          <w:color w:val="1B2A4A"/>
          <w:sz w:val="22"/>
          <w:szCs w:val="22"/>
        </w:rPr>
        <w:t xml:space="preserve">Design correction from the original concept: </w:t>
      </w:r>
      <w:r>
        <w:rPr>
          <w:rFonts w:ascii="Calibri" w:hAnsi="Calibri"/>
          <w:sz w:val="22"/>
          <w:szCs w:val="22"/>
        </w:rPr>
        <w:t xml:space="preserve">the initial design linked the </w:t>
      </w:r>
      <w:r>
        <w:rPr>
          <w:rFonts w:ascii="Calibri" w:hAnsi="Calibri"/>
          <w:i/>
          <w:iCs/>
          <w:sz w:val="22"/>
          <w:szCs w:val="22"/>
        </w:rPr>
        <w:t xml:space="preserve">first practitioner to accept</w:t>
      </w:r>
      <w:r>
        <w:rPr>
          <w:rFonts w:ascii="Calibri" w:hAnsi="Calibri"/>
          <w:sz w:val="22"/>
          <w:szCs w:val="22"/>
        </w:rPr>
        <w:t xml:space="preserve"> a request. This is rejected. The first person to click is not necessarily the safest or most suitable person for the assignment. Matching must instead weigh active licence status, required specialty and qualifications, relevant experience, location and travel time, current availability, recent working hours and fatigue, facility requirements, prior reliability, and agreed rate — with the facility confirming the recommended practitioner before the assignment is final.</w:t>
      </w:r>
    </w:p>
    <w:p>
      <w:pPr>
        <w:pStyle w:val="Heading1"/>
        <w:keepNext/>
        <w:pBdr>
          <w:bottom w:val="single" w:color="0F7C6C" w:sz="8" w:space="4"/>
        </w:pBdr>
        <w:spacing w:after="200" w:before="420"/>
      </w:pPr>
      <w:r>
        <w:rPr>
          <w:rFonts w:ascii="Calibri" w:hAnsi="Calibri"/>
          <w:b/>
          <w:bCs/>
          <w:color w:val="1B2A4A"/>
        </w:rPr>
        <w:t xml:space="preserve">6. Stakeholders and User Roles</w:t>
      </w:r>
    </w:p>
    <w:tbl>
      <w:tblPr>
        <w:tblW w:type="dxa" w:w="9360"/>
        <w:jc w:val="left"/>
        <w:tblBorders>
          <w:top w:val="single" w:color="CFD4DA" w:sz="4"/>
          <w:left w:val="single" w:color="CFD4DA" w:sz="4"/>
          <w:bottom w:val="single" w:color="CFD4DA" w:sz="4"/>
          <w:right w:val="single" w:color="CFD4DA" w:sz="4"/>
          <w:insideH w:val="single" w:color="CFD4DA" w:sz="4"/>
          <w:insideV w:val="single" w:color="CFD4DA" w:sz="4"/>
        </w:tblBorders>
        <w:tblLayout w:type="fixed"/>
        <w:tblInd w:w="120" w:type="dxa"/>
      </w:tblPr>
      <w:tblGrid>
        <w:gridCol w:w="2562"/>
        <w:gridCol w:w="6798"/>
      </w:tblGrid>
      <w:tr>
        <w:trPr>
          <w:tblHeader w:val="true"/>
          <w:cantSplit/>
        </w:trPr>
        <w:tc>
          <w:tcPr>
            <w:tcW w:type="dxa" w:w="2562"/>
            <w:shd w:fill="1B2A4A" w:val="clear"/>
            <w:tcMar>
              <w:top w:type="dxa" w:w="80"/>
              <w:left w:type="dxa" w:w="120"/>
              <w:bottom w:type="dxa" w:w="80"/>
              <w:right w:type="dxa" w:w="120"/>
              <w:start w:w="120" w:type="dxa"/>
              <w:end w:w="120" w:type="dxa"/>
            </w:tcMar>
            <w:vAlign w:val="center"/>
          </w:tcPr>
          <w:p>
            <w:r>
              <w:rPr>
                <w:b/>
                <w:bCs/>
                <w:color w:val="FFFFFF"/>
                <w:sz w:val="20"/>
                <w:szCs w:val="20"/>
              </w:rPr>
              <w:t xml:space="preserve">Role</w:t>
            </w:r>
          </w:p>
        </w:tc>
        <w:tc>
          <w:tcPr>
            <w:tcW w:type="dxa" w:w="6798"/>
            <w:shd w:fill="1B2A4A" w:val="clear"/>
            <w:tcMar>
              <w:top w:type="dxa" w:w="80"/>
              <w:left w:type="dxa" w:w="120"/>
              <w:bottom w:type="dxa" w:w="80"/>
              <w:right w:type="dxa" w:w="120"/>
              <w:start w:w="120" w:type="dxa"/>
              <w:end w:w="120" w:type="dxa"/>
            </w:tcMar>
            <w:vAlign w:val="center"/>
          </w:tcPr>
          <w:p>
            <w:r>
              <w:rPr>
                <w:b/>
                <w:bCs/>
                <w:color w:val="FFFFFF"/>
                <w:sz w:val="20"/>
                <w:szCs w:val="20"/>
              </w:rPr>
              <w:t xml:space="preserve">Description</w:t>
            </w:r>
          </w:p>
        </w:tc>
      </w:tr>
      <w:tr>
        <w:trPr>
          <w:cantSplit/>
        </w:trPr>
        <w:tc>
          <w:tcPr>
            <w:tcW w:type="dxa" w:w="2562"/>
            <w:tcMar>
              <w:top w:type="dxa" w:w="80"/>
              <w:left w:type="dxa" w:w="120"/>
              <w:bottom w:type="dxa" w:w="80"/>
              <w:right w:type="dxa" w:w="120"/>
              <w:start w:w="120" w:type="dxa"/>
              <w:end w:w="120" w:type="dxa"/>
            </w:tcMar>
            <w:vAlign w:val="center"/>
          </w:tcPr>
          <w:p>
            <w:r>
              <w:rPr>
                <w:b w:val="false"/>
                <w:bCs w:val="false"/>
                <w:color w:val="26282B"/>
                <w:sz w:val="20"/>
                <w:szCs w:val="20"/>
              </w:rPr>
              <w:t xml:space="preserve">Practitioner</w:t>
            </w:r>
          </w:p>
        </w:tc>
        <w:tc>
          <w:tcPr>
            <w:tcW w:type="dxa" w:w="6798"/>
            <w:tcMar>
              <w:top w:type="dxa" w:w="80"/>
              <w:left w:type="dxa" w:w="120"/>
              <w:bottom w:type="dxa" w:w="80"/>
              <w:right w:type="dxa" w:w="120"/>
              <w:start w:w="120" w:type="dxa"/>
              <w:end w:w="120" w:type="dxa"/>
            </w:tcMar>
            <w:vAlign w:val="center"/>
          </w:tcPr>
          <w:p>
            <w:r>
              <w:rPr>
                <w:b w:val="false"/>
                <w:bCs w:val="false"/>
                <w:color w:val="26282B"/>
                <w:sz w:val="20"/>
                <w:szCs w:val="20"/>
              </w:rPr>
              <w:t xml:space="preserve">Doctor, nurse, pharmacist, or other licensed health worker offering shifts.</w:t>
            </w:r>
          </w:p>
        </w:tc>
      </w:tr>
      <w:tr>
        <w:trPr>
          <w:cantSplit/>
        </w:trPr>
        <w:tc>
          <w:tcPr>
            <w:tcW w:type="dxa" w:w="2562"/>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Facility Owner</w:t>
            </w:r>
          </w:p>
        </w:tc>
        <w:tc>
          <w:tcPr>
            <w:tcW w:type="dxa" w:w="6798"/>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Ultimate account holder for a healthcare facility or group of facilities.</w:t>
            </w:r>
          </w:p>
        </w:tc>
      </w:tr>
      <w:tr>
        <w:trPr>
          <w:cantSplit/>
        </w:trPr>
        <w:tc>
          <w:tcPr>
            <w:tcW w:type="dxa" w:w="2562"/>
            <w:tcMar>
              <w:top w:type="dxa" w:w="80"/>
              <w:left w:type="dxa" w:w="120"/>
              <w:bottom w:type="dxa" w:w="80"/>
              <w:right w:type="dxa" w:w="120"/>
              <w:start w:w="120" w:type="dxa"/>
              <w:end w:w="120" w:type="dxa"/>
            </w:tcMar>
            <w:vAlign w:val="center"/>
          </w:tcPr>
          <w:p>
            <w:r>
              <w:rPr>
                <w:b w:val="false"/>
                <w:bCs w:val="false"/>
                <w:color w:val="26282B"/>
                <w:sz w:val="20"/>
                <w:szCs w:val="20"/>
              </w:rPr>
              <w:t xml:space="preserve">Facility Administrator</w:t>
            </w:r>
          </w:p>
        </w:tc>
        <w:tc>
          <w:tcPr>
            <w:tcW w:type="dxa" w:w="6798"/>
            <w:tcMar>
              <w:top w:type="dxa" w:w="80"/>
              <w:left w:type="dxa" w:w="120"/>
              <w:bottom w:type="dxa" w:w="80"/>
              <w:right w:type="dxa" w:w="120"/>
              <w:start w:w="120" w:type="dxa"/>
              <w:end w:w="120" w:type="dxa"/>
            </w:tcMar>
            <w:vAlign w:val="center"/>
          </w:tcPr>
          <w:p>
            <w:r>
              <w:rPr>
                <w:b w:val="false"/>
                <w:bCs w:val="false"/>
                <w:color w:val="26282B"/>
                <w:sz w:val="20"/>
                <w:szCs w:val="20"/>
              </w:rPr>
              <w:t xml:space="preserve">Manages facility profile, branches, departments, and staff.</w:t>
            </w:r>
          </w:p>
        </w:tc>
      </w:tr>
      <w:tr>
        <w:trPr>
          <w:cantSplit/>
        </w:trPr>
        <w:tc>
          <w:tcPr>
            <w:tcW w:type="dxa" w:w="2562"/>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Facility Scheduler</w:t>
            </w:r>
          </w:p>
        </w:tc>
        <w:tc>
          <w:tcPr>
            <w:tcW w:type="dxa" w:w="6798"/>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Publishes requests, reviews candidates, confirms assignments.</w:t>
            </w:r>
          </w:p>
        </w:tc>
      </w:tr>
      <w:tr>
        <w:trPr>
          <w:cantSplit/>
        </w:trPr>
        <w:tc>
          <w:tcPr>
            <w:tcW w:type="dxa" w:w="2562"/>
            <w:tcMar>
              <w:top w:type="dxa" w:w="80"/>
              <w:left w:type="dxa" w:w="120"/>
              <w:bottom w:type="dxa" w:w="80"/>
              <w:right w:type="dxa" w:w="120"/>
              <w:start w:w="120" w:type="dxa"/>
              <w:end w:w="120" w:type="dxa"/>
            </w:tcMar>
            <w:vAlign w:val="center"/>
          </w:tcPr>
          <w:p>
            <w:r>
              <w:rPr>
                <w:b w:val="false"/>
                <w:bCs w:val="false"/>
                <w:color w:val="26282B"/>
                <w:sz w:val="20"/>
                <w:szCs w:val="20"/>
              </w:rPr>
              <w:t xml:space="preserve">Facility Finance Officer</w:t>
            </w:r>
          </w:p>
        </w:tc>
        <w:tc>
          <w:tcPr>
            <w:tcW w:type="dxa" w:w="6798"/>
            <w:tcMar>
              <w:top w:type="dxa" w:w="80"/>
              <w:left w:type="dxa" w:w="120"/>
              <w:bottom w:type="dxa" w:w="80"/>
              <w:right w:type="dxa" w:w="120"/>
              <w:start w:w="120" w:type="dxa"/>
              <w:end w:w="120" w:type="dxa"/>
            </w:tcMar>
            <w:vAlign w:val="center"/>
          </w:tcPr>
          <w:p>
            <w:r>
              <w:rPr>
                <w:b w:val="false"/>
                <w:bCs w:val="false"/>
                <w:color w:val="26282B"/>
                <w:sz w:val="20"/>
                <w:szCs w:val="20"/>
              </w:rPr>
              <w:t xml:space="preserve">Manages billing, funding, and payment approval for the facility.</w:t>
            </w:r>
          </w:p>
        </w:tc>
      </w:tr>
      <w:tr>
        <w:trPr>
          <w:cantSplit/>
        </w:trPr>
        <w:tc>
          <w:tcPr>
            <w:tcW w:type="dxa" w:w="2562"/>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Medilink Operations Officer</w:t>
            </w:r>
          </w:p>
        </w:tc>
        <w:tc>
          <w:tcPr>
            <w:tcW w:type="dxa" w:w="6798"/>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Monitors requests, matches, and day-to-day platform operations.</w:t>
            </w:r>
          </w:p>
        </w:tc>
      </w:tr>
      <w:tr>
        <w:trPr>
          <w:cantSplit/>
        </w:trPr>
        <w:tc>
          <w:tcPr>
            <w:tcW w:type="dxa" w:w="2562"/>
            <w:tcMar>
              <w:top w:type="dxa" w:w="80"/>
              <w:left w:type="dxa" w:w="120"/>
              <w:bottom w:type="dxa" w:w="80"/>
              <w:right w:type="dxa" w:w="120"/>
              <w:start w:w="120" w:type="dxa"/>
              <w:end w:w="120" w:type="dxa"/>
            </w:tcMar>
            <w:vAlign w:val="center"/>
          </w:tcPr>
          <w:p>
            <w:r>
              <w:rPr>
                <w:b w:val="false"/>
                <w:bCs w:val="false"/>
                <w:color w:val="26282B"/>
                <w:sz w:val="20"/>
                <w:szCs w:val="20"/>
              </w:rPr>
              <w:t xml:space="preserve">Medilink Compliance Officer</w:t>
            </w:r>
          </w:p>
        </w:tc>
        <w:tc>
          <w:tcPr>
            <w:tcW w:type="dxa" w:w="6798"/>
            <w:tcMar>
              <w:top w:type="dxa" w:w="80"/>
              <w:left w:type="dxa" w:w="120"/>
              <w:bottom w:type="dxa" w:w="80"/>
              <w:right w:type="dxa" w:w="120"/>
              <w:start w:w="120" w:type="dxa"/>
              <w:end w:w="120" w:type="dxa"/>
            </w:tcMar>
            <w:vAlign w:val="center"/>
          </w:tcPr>
          <w:p>
            <w:r>
              <w:rPr>
                <w:b w:val="false"/>
                <w:bCs w:val="false"/>
                <w:color w:val="26282B"/>
                <w:sz w:val="20"/>
                <w:szCs w:val="20"/>
              </w:rPr>
              <w:t xml:space="preserve">Reviews and approves practitioner and facility credentials.</w:t>
            </w:r>
          </w:p>
        </w:tc>
      </w:tr>
      <w:tr>
        <w:trPr>
          <w:cantSplit/>
        </w:trPr>
        <w:tc>
          <w:tcPr>
            <w:tcW w:type="dxa" w:w="2562"/>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Medilink Finance Officer</w:t>
            </w:r>
          </w:p>
        </w:tc>
        <w:tc>
          <w:tcPr>
            <w:tcW w:type="dxa" w:w="6798"/>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Oversees platform-wide settlement, reconciliation, and payouts.</w:t>
            </w:r>
          </w:p>
        </w:tc>
      </w:tr>
      <w:tr>
        <w:trPr>
          <w:cantSplit/>
        </w:trPr>
        <w:tc>
          <w:tcPr>
            <w:tcW w:type="dxa" w:w="2562"/>
            <w:tcMar>
              <w:top w:type="dxa" w:w="80"/>
              <w:left w:type="dxa" w:w="120"/>
              <w:bottom w:type="dxa" w:w="80"/>
              <w:right w:type="dxa" w:w="120"/>
              <w:start w:w="120" w:type="dxa"/>
              <w:end w:w="120" w:type="dxa"/>
            </w:tcMar>
            <w:vAlign w:val="center"/>
          </w:tcPr>
          <w:p>
            <w:r>
              <w:rPr>
                <w:b w:val="false"/>
                <w:bCs w:val="false"/>
                <w:color w:val="26282B"/>
                <w:sz w:val="20"/>
                <w:szCs w:val="20"/>
              </w:rPr>
              <w:t xml:space="preserve">Super Administrator</w:t>
            </w:r>
          </w:p>
        </w:tc>
        <w:tc>
          <w:tcPr>
            <w:tcW w:type="dxa" w:w="6798"/>
            <w:tcMar>
              <w:top w:type="dxa" w:w="80"/>
              <w:left w:type="dxa" w:w="120"/>
              <w:bottom w:type="dxa" w:w="80"/>
              <w:right w:type="dxa" w:w="120"/>
              <w:start w:w="120" w:type="dxa"/>
              <w:end w:w="120" w:type="dxa"/>
            </w:tcMar>
            <w:vAlign w:val="center"/>
          </w:tcPr>
          <w:p>
            <w:r>
              <w:rPr>
                <w:b w:val="false"/>
                <w:bCs w:val="false"/>
                <w:color w:val="26282B"/>
                <w:sz w:val="20"/>
                <w:szCs w:val="20"/>
              </w:rPr>
              <w:t xml:space="preserve">Full platform configuration and override authority.</w:t>
            </w:r>
          </w:p>
        </w:tc>
      </w:tr>
    </w:tbl>
    <w:p>
      <w:pPr>
        <w:pStyle w:val="Heading1"/>
        <w:keepNext/>
        <w:pBdr>
          <w:bottom w:val="single" w:color="0F7C6C" w:sz="8" w:space="4"/>
        </w:pBdr>
        <w:spacing w:after="200" w:before="420"/>
      </w:pPr>
      <w:r>
        <w:rPr>
          <w:rFonts w:ascii="Calibri" w:hAnsi="Calibri"/>
          <w:b/>
          <w:bCs/>
          <w:color w:val="1B2A4A"/>
        </w:rPr>
        <w:t xml:space="preserve">7. Technology Stack</w:t>
      </w:r>
    </w:p>
    <w:tbl>
      <w:tblPr>
        <w:tblW w:type="dxa" w:w="9360"/>
        <w:jc w:val="left"/>
        <w:tblBorders>
          <w:top w:val="single" w:color="CFD4DA" w:sz="4"/>
          <w:left w:val="single" w:color="CFD4DA" w:sz="4"/>
          <w:bottom w:val="single" w:color="CFD4DA" w:sz="4"/>
          <w:right w:val="single" w:color="CFD4DA" w:sz="4"/>
          <w:insideH w:val="single" w:color="CFD4DA" w:sz="4"/>
          <w:insideV w:val="single" w:color="CFD4DA" w:sz="4"/>
        </w:tblBorders>
        <w:tblLayout w:type="fixed"/>
        <w:tblInd w:w="120" w:type="dxa"/>
      </w:tblPr>
      <w:tblGrid>
        <w:gridCol w:w="2562"/>
        <w:gridCol w:w="3251"/>
        <w:gridCol w:w="3547"/>
      </w:tblGrid>
      <w:tr>
        <w:trPr>
          <w:tblHeader w:val="true"/>
          <w:cantSplit/>
        </w:trPr>
        <w:tc>
          <w:tcPr>
            <w:tcW w:type="dxa" w:w="2562"/>
            <w:shd w:fill="1B2A4A" w:val="clear"/>
            <w:tcMar>
              <w:top w:type="dxa" w:w="80"/>
              <w:left w:type="dxa" w:w="120"/>
              <w:bottom w:type="dxa" w:w="80"/>
              <w:right w:type="dxa" w:w="120"/>
              <w:start w:w="120" w:type="dxa"/>
              <w:end w:w="120" w:type="dxa"/>
            </w:tcMar>
            <w:vAlign w:val="center"/>
          </w:tcPr>
          <w:p>
            <w:r>
              <w:rPr>
                <w:b/>
                <w:bCs/>
                <w:color w:val="FFFFFF"/>
                <w:sz w:val="20"/>
                <w:szCs w:val="20"/>
              </w:rPr>
              <w:t xml:space="preserve">Layer</w:t>
            </w:r>
          </w:p>
        </w:tc>
        <w:tc>
          <w:tcPr>
            <w:tcW w:type="dxa" w:w="3251"/>
            <w:shd w:fill="1B2A4A" w:val="clear"/>
            <w:tcMar>
              <w:top w:type="dxa" w:w="80"/>
              <w:left w:type="dxa" w:w="120"/>
              <w:bottom w:type="dxa" w:w="80"/>
              <w:right w:type="dxa" w:w="120"/>
              <w:start w:w="120" w:type="dxa"/>
              <w:end w:w="120" w:type="dxa"/>
            </w:tcMar>
            <w:vAlign w:val="center"/>
          </w:tcPr>
          <w:p>
            <w:r>
              <w:rPr>
                <w:b/>
                <w:bCs/>
                <w:color w:val="FFFFFF"/>
                <w:sz w:val="20"/>
                <w:szCs w:val="20"/>
              </w:rPr>
              <w:t xml:space="preserve">Choice</w:t>
            </w:r>
          </w:p>
        </w:tc>
        <w:tc>
          <w:tcPr>
            <w:tcW w:type="dxa" w:w="3547"/>
            <w:shd w:fill="1B2A4A" w:val="clear"/>
            <w:tcMar>
              <w:top w:type="dxa" w:w="80"/>
              <w:left w:type="dxa" w:w="120"/>
              <w:bottom w:type="dxa" w:w="80"/>
              <w:right w:type="dxa" w:w="120"/>
              <w:start w:w="120" w:type="dxa"/>
              <w:end w:w="120" w:type="dxa"/>
            </w:tcMar>
            <w:vAlign w:val="center"/>
          </w:tcPr>
          <w:p>
            <w:r>
              <w:rPr>
                <w:b/>
                <w:bCs/>
                <w:color w:val="FFFFFF"/>
                <w:sz w:val="20"/>
                <w:szCs w:val="20"/>
              </w:rPr>
              <w:t xml:space="preserve">Notes</w:t>
            </w:r>
          </w:p>
        </w:tc>
      </w:tr>
      <w:tr>
        <w:trPr>
          <w:cantSplit/>
        </w:trPr>
        <w:tc>
          <w:tcPr>
            <w:tcW w:type="dxa" w:w="2562"/>
            <w:tcMar>
              <w:top w:type="dxa" w:w="80"/>
              <w:left w:type="dxa" w:w="120"/>
              <w:bottom w:type="dxa" w:w="80"/>
              <w:right w:type="dxa" w:w="120"/>
              <w:start w:w="120" w:type="dxa"/>
              <w:end w:w="120" w:type="dxa"/>
            </w:tcMar>
            <w:vAlign w:val="center"/>
          </w:tcPr>
          <w:p>
            <w:r>
              <w:rPr>
                <w:b w:val="false"/>
                <w:bCs w:val="false"/>
                <w:color w:val="26282B"/>
                <w:sz w:val="20"/>
                <w:szCs w:val="20"/>
              </w:rPr>
              <w:t xml:space="preserve">Application framework</w:t>
            </w:r>
          </w:p>
        </w:tc>
        <w:tc>
          <w:tcPr>
            <w:tcW w:type="dxa" w:w="3251"/>
            <w:tcMar>
              <w:top w:type="dxa" w:w="80"/>
              <w:left w:type="dxa" w:w="120"/>
              <w:bottom w:type="dxa" w:w="80"/>
              <w:right w:type="dxa" w:w="120"/>
              <w:start w:w="120" w:type="dxa"/>
              <w:end w:w="120" w:type="dxa"/>
            </w:tcMar>
            <w:vAlign w:val="center"/>
          </w:tcPr>
          <w:p>
            <w:r>
              <w:rPr>
                <w:b w:val="false"/>
                <w:bCs w:val="false"/>
                <w:color w:val="26282B"/>
                <w:sz w:val="20"/>
                <w:szCs w:val="20"/>
              </w:rPr>
              <w:t xml:space="preserve">Next.js (TypeScript)</w:t>
            </w:r>
          </w:p>
        </w:tc>
        <w:tc>
          <w:tcPr>
            <w:tcW w:type="dxa" w:w="3547"/>
            <w:tcMar>
              <w:top w:type="dxa" w:w="80"/>
              <w:left w:type="dxa" w:w="120"/>
              <w:bottom w:type="dxa" w:w="80"/>
              <w:right w:type="dxa" w:w="120"/>
              <w:start w:w="120" w:type="dxa"/>
              <w:end w:w="120" w:type="dxa"/>
            </w:tcMar>
            <w:vAlign w:val="center"/>
          </w:tcPr>
          <w:p>
            <w:r>
              <w:rPr>
                <w:b w:val="false"/>
                <w:bCs w:val="false"/>
                <w:color w:val="26282B"/>
                <w:sz w:val="20"/>
                <w:szCs w:val="20"/>
              </w:rPr>
              <w:t xml:space="preserve">Single codebase for web UI and API routes; supports SSR and PWA delivery.</w:t>
            </w:r>
          </w:p>
        </w:tc>
      </w:tr>
      <w:tr>
        <w:trPr>
          <w:cantSplit/>
        </w:trPr>
        <w:tc>
          <w:tcPr>
            <w:tcW w:type="dxa" w:w="2562"/>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Database</w:t>
            </w:r>
          </w:p>
        </w:tc>
        <w:tc>
          <w:tcPr>
            <w:tcW w:type="dxa" w:w="3251"/>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PostgreSQL</w:t>
            </w:r>
          </w:p>
        </w:tc>
        <w:tc>
          <w:tcPr>
            <w:tcW w:type="dxa" w:w="3547"/>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Chosen over MongoDB for transactional consistency in financial, assignment, and approval records — see Section 8.5.</w:t>
            </w:r>
          </w:p>
        </w:tc>
      </w:tr>
      <w:tr>
        <w:trPr>
          <w:cantSplit/>
        </w:trPr>
        <w:tc>
          <w:tcPr>
            <w:tcW w:type="dxa" w:w="2562"/>
            <w:tcMar>
              <w:top w:type="dxa" w:w="80"/>
              <w:left w:type="dxa" w:w="120"/>
              <w:bottom w:type="dxa" w:w="80"/>
              <w:right w:type="dxa" w:w="120"/>
              <w:start w:w="120" w:type="dxa"/>
              <w:end w:w="120" w:type="dxa"/>
            </w:tcMar>
            <w:vAlign w:val="center"/>
          </w:tcPr>
          <w:p>
            <w:r>
              <w:rPr>
                <w:b w:val="false"/>
                <w:bCs w:val="false"/>
                <w:color w:val="26282B"/>
                <w:sz w:val="20"/>
                <w:szCs w:val="20"/>
              </w:rPr>
              <w:t xml:space="preserve">Payments</w:t>
            </w:r>
          </w:p>
        </w:tc>
        <w:tc>
          <w:tcPr>
            <w:tcW w:type="dxa" w:w="3251"/>
            <w:tcMar>
              <w:top w:type="dxa" w:w="80"/>
              <w:left w:type="dxa" w:w="120"/>
              <w:bottom w:type="dxa" w:w="80"/>
              <w:right w:type="dxa" w:w="120"/>
              <w:start w:w="120" w:type="dxa"/>
              <w:end w:w="120" w:type="dxa"/>
            </w:tcMar>
            <w:vAlign w:val="center"/>
          </w:tcPr>
          <w:p>
            <w:r>
              <w:rPr>
                <w:b w:val="false"/>
                <w:bCs w:val="false"/>
                <w:color w:val="26282B"/>
                <w:sz w:val="20"/>
                <w:szCs w:val="20"/>
              </w:rPr>
              <w:t xml:space="preserve">Paystack / Remita (licensed partners)</w:t>
            </w:r>
          </w:p>
        </w:tc>
        <w:tc>
          <w:tcPr>
            <w:tcW w:type="dxa" w:w="3547"/>
            <w:tcMar>
              <w:top w:type="dxa" w:w="80"/>
              <w:left w:type="dxa" w:w="120"/>
              <w:bottom w:type="dxa" w:w="80"/>
              <w:right w:type="dxa" w:w="120"/>
              <w:start w:w="120" w:type="dxa"/>
              <w:end w:w="120" w:type="dxa"/>
            </w:tcMar>
            <w:vAlign w:val="center"/>
          </w:tcPr>
          <w:p>
            <w:r>
              <w:rPr>
                <w:b w:val="false"/>
                <w:bCs w:val="false"/>
                <w:color w:val="26282B"/>
                <w:sz w:val="20"/>
                <w:szCs w:val="20"/>
              </w:rPr>
              <w:t xml:space="preserve">Medilink integrates with licensed processors rather than operating its own stored-value wallet.</w:t>
            </w:r>
          </w:p>
        </w:tc>
      </w:tr>
      <w:tr>
        <w:trPr>
          <w:cantSplit/>
        </w:trPr>
        <w:tc>
          <w:tcPr>
            <w:tcW w:type="dxa" w:w="2562"/>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Notifications</w:t>
            </w:r>
          </w:p>
        </w:tc>
        <w:tc>
          <w:tcPr>
            <w:tcW w:type="dxa" w:w="3251"/>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Email, SMS, push, WhatsApp (via approved provider)</w:t>
            </w:r>
          </w:p>
        </w:tc>
        <w:tc>
          <w:tcPr>
            <w:tcW w:type="dxa" w:w="3547"/>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SMS given priority as a reliability fallback given variable connectivity.</w:t>
            </w:r>
          </w:p>
        </w:tc>
      </w:tr>
      <w:tr>
        <w:trPr>
          <w:cantSplit/>
        </w:trPr>
        <w:tc>
          <w:tcPr>
            <w:tcW w:type="dxa" w:w="2562"/>
            <w:tcMar>
              <w:top w:type="dxa" w:w="80"/>
              <w:left w:type="dxa" w:w="120"/>
              <w:bottom w:type="dxa" w:w="80"/>
              <w:right w:type="dxa" w:w="120"/>
              <w:start w:w="120" w:type="dxa"/>
              <w:end w:w="120" w:type="dxa"/>
            </w:tcMar>
            <w:vAlign w:val="center"/>
          </w:tcPr>
          <w:p>
            <w:r>
              <w:rPr>
                <w:b w:val="false"/>
                <w:bCs w:val="false"/>
                <w:color w:val="26282B"/>
                <w:sz w:val="20"/>
                <w:szCs w:val="20"/>
              </w:rPr>
              <w:t xml:space="preserve">Hosting</w:t>
            </w:r>
          </w:p>
        </w:tc>
        <w:tc>
          <w:tcPr>
            <w:tcW w:type="dxa" w:w="3251"/>
            <w:tcMar>
              <w:top w:type="dxa" w:w="80"/>
              <w:left w:type="dxa" w:w="120"/>
              <w:bottom w:type="dxa" w:w="80"/>
              <w:right w:type="dxa" w:w="120"/>
              <w:start w:w="120" w:type="dxa"/>
              <w:end w:w="120" w:type="dxa"/>
            </w:tcMar>
            <w:vAlign w:val="center"/>
          </w:tcPr>
          <w:p>
            <w:r>
              <w:rPr>
                <w:b w:val="false"/>
                <w:bCs w:val="false"/>
                <w:color w:val="26282B"/>
                <w:sz w:val="20"/>
                <w:szCs w:val="20"/>
              </w:rPr>
              <w:t xml:space="preserve">Cloud VM / managed Postgres</w:t>
            </w:r>
          </w:p>
        </w:tc>
        <w:tc>
          <w:tcPr>
            <w:tcW w:type="dxa" w:w="3547"/>
            <w:tcMar>
              <w:top w:type="dxa" w:w="80"/>
              <w:left w:type="dxa" w:w="120"/>
              <w:bottom w:type="dxa" w:w="80"/>
              <w:right w:type="dxa" w:w="120"/>
              <w:start w:w="120" w:type="dxa"/>
              <w:end w:w="120" w:type="dxa"/>
            </w:tcMar>
            <w:vAlign w:val="center"/>
          </w:tcPr>
          <w:p>
            <w:r>
              <w:rPr>
                <w:b w:val="false"/>
                <w:bCs w:val="false"/>
                <w:color w:val="26282B"/>
                <w:sz w:val="20"/>
                <w:szCs w:val="20"/>
              </w:rPr>
              <w:t xml:space="preserve">Environment-agnostic; AWS RDS (Postgres) is a valid target once the database engine decision is made.</w:t>
            </w:r>
          </w:p>
        </w:tc>
      </w:tr>
      <w:tr>
        <w:trPr>
          <w:cantSplit/>
        </w:trPr>
        <w:tc>
          <w:tcPr>
            <w:tcW w:type="dxa" w:w="2562"/>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Background processing</w:t>
            </w:r>
          </w:p>
        </w:tc>
        <w:tc>
          <w:tcPr>
            <w:tcW w:type="dxa" w:w="3251"/>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Queue/worker system with a Postgres outbox table</w:t>
            </w:r>
          </w:p>
        </w:tc>
        <w:tc>
          <w:tcPr>
            <w:tcW w:type="dxa" w:w="3547"/>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Used for cross-module events, notifications, and scheduled jobs (e.g., licence-expiry checks).</w:t>
            </w:r>
          </w:p>
        </w:tc>
      </w:tr>
    </w:tbl>
    <w:p>
      <w:pPr>
        <w:spacing w:after="240" w:before="60"/>
      </w:pPr>
      <w:r>
        <w:rPr>
          <w:rFonts w:ascii="Calibri" w:hAnsi="Calibri"/>
          <w:i/>
          <w:iCs/>
          <w:color w:val="5B6472"/>
          <w:sz w:val="18"/>
          <w:szCs w:val="18"/>
        </w:rPr>
        <w:t xml:space="preserve">Note: the original draft specification paired MongoDB with AWS RDS, which is a relational-database service. This inconsistency is resolved in favour of PostgreSQL throughout — see Section 8.5 for the rationale.</w:t>
      </w:r>
    </w:p>
    <w:p>
      <w:pPr>
        <w:pStyle w:val="Heading1"/>
        <w:keepNext/>
        <w:pBdr>
          <w:bottom w:val="single" w:color="0F7C6C" w:sz="8" w:space="4"/>
        </w:pBdr>
        <w:spacing w:after="200" w:before="420"/>
      </w:pPr>
      <w:r>
        <w:rPr>
          <w:rFonts w:ascii="Calibri" w:hAnsi="Calibri"/>
          <w:b/>
          <w:bCs/>
          <w:color w:val="1B2A4A"/>
        </w:rPr>
        <w:t xml:space="preserve">8. System Architecture</w:t>
      </w:r>
    </w:p>
    <w:p>
      <w:pPr>
        <w:spacing w:after="160" w:line="288"/>
      </w:pPr>
      <w:r>
        <w:rPr>
          <w:rFonts w:ascii="Calibri" w:hAnsi="Calibri"/>
          <w:color w:val="26282B"/>
          <w:sz w:val="22"/>
          <w:szCs w:val="22"/>
        </w:rPr>
        <w:t xml:space="preserve">Medilink is built as a modular monolith: a single deployable Next.js application internally organised into independent modules, each owning its own data and business rules. This is materially easier to build and operate than a microservices architecture at MVP stage, while preserving clean boundaries so the platform can be decomposed later if scale requires it.</w:t>
      </w:r>
    </w:p>
    <w:p>
      <w:pPr>
        <w:pStyle w:val="Heading2"/>
        <w:keepNext/>
        <w:spacing w:after="140" w:before="300"/>
      </w:pPr>
      <w:r>
        <w:rPr>
          <w:rFonts w:ascii="Calibri" w:hAnsi="Calibri"/>
          <w:b/>
          <w:bCs/>
          <w:color w:val="1B2A4A"/>
        </w:rPr>
        <w:t xml:space="preserve">8.1 Standard Module Structure</w:t>
      </w:r>
    </w:p>
    <w:p>
      <w:pPr>
        <w:spacing w:after="160" w:line="288"/>
      </w:pPr>
      <w:r>
        <w:rPr>
          <w:rFonts w:ascii="Calibri" w:hAnsi="Calibri"/>
          <w:color w:val="26282B"/>
          <w:sz w:val="22"/>
          <w:szCs w:val="22"/>
        </w:rPr>
        <w:t xml:space="preserve">Every module follows the same internal shape, keeping business logic out of React components and route handlers:</w:t>
      </w:r>
    </w:p>
    <w:p>
      <w:pPr>
        <w:pStyle w:val="ListParagraph"/>
        <w:numPr>
          <w:ilvl w:val="0"/>
          <w:numId w:val="1"/>
        </w:numPr>
        <w:spacing w:after="80" w:line="276"/>
      </w:pPr>
      <w:r>
        <w:rPr>
          <w:rFonts w:ascii="Calibri" w:hAnsi="Calibri"/>
          <w:color w:val="26282B"/>
          <w:sz w:val="22"/>
          <w:szCs w:val="22"/>
        </w:rPr>
        <w:t xml:space="preserve">domain/ — entities, domain events, business policies, and types.</w:t>
      </w:r>
    </w:p>
    <w:p>
      <w:pPr>
        <w:pStyle w:val="ListParagraph"/>
        <w:numPr>
          <w:ilvl w:val="0"/>
          <w:numId w:val="1"/>
        </w:numPr>
        <w:spacing w:after="80" w:line="276"/>
      </w:pPr>
      <w:r>
        <w:rPr>
          <w:rFonts w:ascii="Calibri" w:hAnsi="Calibri"/>
          <w:color w:val="26282B"/>
          <w:sz w:val="22"/>
          <w:szCs w:val="22"/>
        </w:rPr>
        <w:t xml:space="preserve">application/ — commands, queries, and orchestration services.</w:t>
      </w:r>
    </w:p>
    <w:p>
      <w:pPr>
        <w:pStyle w:val="ListParagraph"/>
        <w:numPr>
          <w:ilvl w:val="0"/>
          <w:numId w:val="1"/>
        </w:numPr>
        <w:spacing w:after="80" w:line="276"/>
      </w:pPr>
      <w:r>
        <w:rPr>
          <w:rFonts w:ascii="Calibri" w:hAnsi="Calibri"/>
          <w:color w:val="26282B"/>
          <w:sz w:val="22"/>
          <w:szCs w:val="22"/>
        </w:rPr>
        <w:t xml:space="preserve">infrastructure/ — repositories and provider adapters.</w:t>
      </w:r>
    </w:p>
    <w:p>
      <w:pPr>
        <w:pStyle w:val="ListParagraph"/>
        <w:numPr>
          <w:ilvl w:val="0"/>
          <w:numId w:val="1"/>
        </w:numPr>
        <w:spacing w:after="80" w:line="276"/>
      </w:pPr>
      <w:r>
        <w:rPr>
          <w:rFonts w:ascii="Calibri" w:hAnsi="Calibri"/>
          <w:color w:val="26282B"/>
          <w:sz w:val="22"/>
          <w:szCs w:val="22"/>
        </w:rPr>
        <w:t xml:space="preserve">presentation/ — UI components and input validation.</w:t>
      </w:r>
    </w:p>
    <w:p>
      <w:pPr>
        <w:pStyle w:val="ListParagraph"/>
        <w:numPr>
          <w:ilvl w:val="0"/>
          <w:numId w:val="1"/>
        </w:numPr>
        <w:spacing w:after="80" w:line="276"/>
      </w:pPr>
      <w:r>
        <w:rPr>
          <w:rFonts w:ascii="Calibri" w:hAnsi="Calibri"/>
          <w:color w:val="26282B"/>
          <w:sz w:val="22"/>
          <w:szCs w:val="22"/>
        </w:rPr>
        <w:t xml:space="preserve">permissions.ts, routes.ts, and a dedicated tests/ directory.</w:t>
      </w:r>
    </w:p>
    <w:p>
      <w:pPr>
        <w:pStyle w:val="Heading2"/>
        <w:keepNext/>
        <w:spacing w:after="140" w:before="300"/>
      </w:pPr>
      <w:r>
        <w:rPr>
          <w:rFonts w:ascii="Calibri" w:hAnsi="Calibri"/>
          <w:b/>
          <w:bCs/>
          <w:color w:val="1B2A4A"/>
        </w:rPr>
        <w:t xml:space="preserve">8.2 Cross-Module Communication via Domain Events</w:t>
      </w:r>
    </w:p>
    <w:p>
      <w:pPr>
        <w:spacing w:after="160" w:line="288"/>
      </w:pPr>
      <w:r>
        <w:rPr>
          <w:rFonts w:ascii="Calibri" w:hAnsi="Calibri"/>
          <w:color w:val="26282B"/>
          <w:sz w:val="22"/>
          <w:szCs w:val="22"/>
        </w:rPr>
        <w:t xml:space="preserve">Modules communicate through domain events rather than reaching directly into one another's database tables. A Postgres-backed outbox table guarantees events are not lost if background processing fails. Example chain:</w:t>
      </w:r>
    </w:p>
    <w:p>
      <w:pPr>
        <w:spacing w:after="160" w:line="288"/>
      </w:pPr>
      <w:r>
        <w:rPr>
          <w:rFonts w:ascii="Calibri" w:hAnsi="Calibri"/>
          <w:i/>
          <w:iCs/>
          <w:color w:val="0F7C6C"/>
          <w:sz w:val="22"/>
          <w:szCs w:val="22"/>
        </w:rPr>
        <w:t xml:space="preserve">ShiftAccepted → CreateAssignment → AddToSchedule → CreateTimesheet → SendConfirmation</w:t>
      </w:r>
    </w:p>
    <w:p>
      <w:pPr>
        <w:spacing w:after="160" w:line="288"/>
      </w:pPr>
      <w:r>
        <w:rPr>
          <w:rFonts w:ascii="Calibri" w:hAnsi="Calibri"/>
          <w:color w:val="26282B"/>
          <w:sz w:val="22"/>
          <w:szCs w:val="22"/>
        </w:rPr>
        <w:t xml:space="preserve">Other events used across the platform include PractitionerRegistered, CredentialVerified, ServiceRequestPublished, AssignmentConfirmed, ShiftStarted, TimesheetApproved, InvoiceCreated, PaymentCompleted, CredentialExpired, and DisputeOpened. This is what allows a future module — insurance, for example — to react to AssignmentConfirmed without any change to the assignment module itself.</w:t>
      </w:r>
    </w:p>
    <w:p>
      <w:pPr>
        <w:pStyle w:val="Heading2"/>
        <w:keepNext/>
        <w:spacing w:after="140" w:before="300"/>
      </w:pPr>
      <w:r>
        <w:rPr>
          <w:rFonts w:ascii="Calibri" w:hAnsi="Calibri"/>
          <w:b/>
          <w:bCs/>
          <w:color w:val="1B2A4A"/>
        </w:rPr>
        <w:t xml:space="preserve">8.3 Provider Adapter Pattern</w:t>
      </w:r>
    </w:p>
    <w:p>
      <w:pPr>
        <w:spacing w:after="160" w:line="288"/>
      </w:pPr>
      <w:r>
        <w:rPr>
          <w:rFonts w:ascii="Calibri" w:hAnsi="Calibri"/>
          <w:color w:val="26282B"/>
          <w:sz w:val="22"/>
          <w:szCs w:val="22"/>
        </w:rPr>
        <w:t xml:space="preserve">External vendors are never called directly from business logic; each integration point is defined as an interface with swappable implementations, for example:</w:t>
      </w:r>
    </w:p>
    <w:p>
      <w:pPr>
        <w:pStyle w:val="ListParagraph"/>
        <w:numPr>
          <w:ilvl w:val="0"/>
          <w:numId w:val="1"/>
        </w:numPr>
        <w:spacing w:after="80" w:line="276"/>
      </w:pPr>
      <w:r>
        <w:rPr>
          <w:rFonts w:ascii="Calibri" w:hAnsi="Calibri"/>
          <w:color w:val="26282B"/>
          <w:sz w:val="22"/>
          <w:szCs w:val="22"/>
        </w:rPr>
        <w:t xml:space="preserve">PaymentProvider — implemented by PaystackPaymentProvider, RemitaPaymentProvider, FlutterwavePaymentProvider, or a bank-transfer fallback.</w:t>
      </w:r>
    </w:p>
    <w:p>
      <w:pPr>
        <w:pStyle w:val="ListParagraph"/>
        <w:numPr>
          <w:ilvl w:val="0"/>
          <w:numId w:val="1"/>
        </w:numPr>
        <w:spacing w:after="80" w:line="276"/>
      </w:pPr>
      <w:r>
        <w:rPr>
          <w:rFonts w:ascii="Calibri" w:hAnsi="Calibri"/>
          <w:color w:val="26282B"/>
          <w:sz w:val="22"/>
          <w:szCs w:val="22"/>
        </w:rPr>
        <w:t xml:space="preserve">SMS, email, and WhatsApp providers.</w:t>
      </w:r>
    </w:p>
    <w:p>
      <w:pPr>
        <w:pStyle w:val="ListParagraph"/>
        <w:numPr>
          <w:ilvl w:val="0"/>
          <w:numId w:val="1"/>
        </w:numPr>
        <w:spacing w:after="80" w:line="276"/>
      </w:pPr>
      <w:r>
        <w:rPr>
          <w:rFonts w:ascii="Calibri" w:hAnsi="Calibri"/>
          <w:color w:val="26282B"/>
          <w:sz w:val="22"/>
          <w:szCs w:val="22"/>
        </w:rPr>
        <w:t xml:space="preserve">Document storage providers.</w:t>
      </w:r>
    </w:p>
    <w:p>
      <w:pPr>
        <w:pStyle w:val="ListParagraph"/>
        <w:numPr>
          <w:ilvl w:val="0"/>
          <w:numId w:val="1"/>
        </w:numPr>
        <w:spacing w:after="80" w:line="276"/>
      </w:pPr>
      <w:r>
        <w:rPr>
          <w:rFonts w:ascii="Calibri" w:hAnsi="Calibri"/>
          <w:color w:val="26282B"/>
          <w:sz w:val="22"/>
          <w:szCs w:val="22"/>
        </w:rPr>
        <w:t xml:space="preserve">Identity and professional-council verification providers.</w:t>
      </w:r>
    </w:p>
    <w:p>
      <w:pPr>
        <w:pStyle w:val="ListParagraph"/>
        <w:numPr>
          <w:ilvl w:val="0"/>
          <w:numId w:val="1"/>
        </w:numPr>
        <w:spacing w:after="80" w:line="276"/>
      </w:pPr>
      <w:r>
        <w:rPr>
          <w:rFonts w:ascii="Calibri" w:hAnsi="Calibri"/>
          <w:color w:val="26282B"/>
          <w:sz w:val="22"/>
          <w:szCs w:val="22"/>
        </w:rPr>
        <w:t xml:space="preserve">Maps/geolocation, video consultation, and analytics providers.</w:t>
      </w:r>
    </w:p>
    <w:p>
      <w:pPr>
        <w:pStyle w:val="Heading2"/>
        <w:keepNext/>
        <w:spacing w:after="140" w:before="300"/>
      </w:pPr>
      <w:r>
        <w:rPr>
          <w:rFonts w:ascii="Calibri" w:hAnsi="Calibri"/>
          <w:b/>
          <w:bCs/>
          <w:color w:val="1B2A4A"/>
        </w:rPr>
        <w:t xml:space="preserve">8.4 Financial Model: Ledger, Not Wallet</w:t>
      </w:r>
    </w:p>
    <w:p>
      <w:pPr>
        <w:spacing w:after="160" w:line="288"/>
      </w:pPr>
      <w:r>
        <w:rPr>
          <w:rFonts w:ascii="Calibri" w:hAnsi="Calibri"/>
          <w:color w:val="26282B"/>
          <w:sz w:val="22"/>
          <w:szCs w:val="22"/>
        </w:rPr>
        <w:t xml:space="preserve">The original concept described a digital “wallet” for each user. This is revised: displaying a running balance to a user is materially different, legally, from operating a licensed stored-value wallet. Medilink's financial model is a transaction ledger plus settlement through licensed payment providers (Paystack, Remita, or equivalent) — with the underlying legal and regulatory model reviewed by Nigerian payments counsel before scaling volume. Financial records are never overwritten; corrections are made through reversal entries, using PostgreSQL transactions to guarantee consistency.</w:t>
      </w:r>
    </w:p>
    <w:p>
      <w:pPr>
        <w:pStyle w:val="Heading2"/>
        <w:keepNext/>
        <w:spacing w:after="140" w:before="300"/>
      </w:pPr>
      <w:r>
        <w:rPr>
          <w:rFonts w:ascii="Calibri" w:hAnsi="Calibri"/>
          <w:b/>
          <w:bCs/>
          <w:color w:val="1B2A4A"/>
        </w:rPr>
        <w:t xml:space="preserve">8.5 Database Design Principles</w:t>
      </w:r>
    </w:p>
    <w:p>
      <w:pPr>
        <w:pStyle w:val="ListParagraph"/>
        <w:numPr>
          <w:ilvl w:val="0"/>
          <w:numId w:val="1"/>
        </w:numPr>
        <w:spacing w:after="80" w:line="276"/>
      </w:pPr>
      <w:r>
        <w:rPr>
          <w:rFonts w:ascii="Calibri" w:hAnsi="Calibri"/>
          <w:color w:val="26282B"/>
          <w:sz w:val="22"/>
          <w:szCs w:val="22"/>
        </w:rPr>
        <w:t xml:space="preserve">PostgreSQL is used throughout, in place of the original MongoDB/AWS RDS combination, because staffing, approval, and financial workflows depend on strong relational integrity and transactional guarantees.</w:t>
      </w:r>
    </w:p>
    <w:p>
      <w:pPr>
        <w:pStyle w:val="ListParagraph"/>
        <w:numPr>
          <w:ilvl w:val="0"/>
          <w:numId w:val="1"/>
        </w:numPr>
        <w:spacing w:after="80" w:line="276"/>
      </w:pPr>
      <w:r>
        <w:rPr>
          <w:rFonts w:ascii="Calibri" w:hAnsi="Calibri"/>
          <w:color w:val="26282B"/>
          <w:sz w:val="22"/>
          <w:szCs w:val="22"/>
        </w:rPr>
        <w:t xml:space="preserve">Tables are organised under clear schema prefixes, e.g. identity.users, workforce.practitioners, facilities.facilities, staffing.service_requests, staffing.assignments, operations.timesheets, finance.invoices, finance.ledger_entries, compliance.credentials, support.disputes.</w:t>
      </w:r>
    </w:p>
    <w:p>
      <w:pPr>
        <w:pStyle w:val="ListParagraph"/>
        <w:numPr>
          <w:ilvl w:val="0"/>
          <w:numId w:val="1"/>
        </w:numPr>
        <w:spacing w:after="80" w:line="276"/>
      </w:pPr>
      <w:r>
        <w:rPr>
          <w:rFonts w:ascii="Calibri" w:hAnsi="Calibri"/>
          <w:color w:val="26282B"/>
          <w:sz w:val="22"/>
          <w:szCs w:val="22"/>
        </w:rPr>
        <w:t xml:space="preserve">UUIDs are used for all identifiers; foreign keys and constraints are enforced at the database level.</w:t>
      </w:r>
    </w:p>
    <w:p>
      <w:pPr>
        <w:pStyle w:val="ListParagraph"/>
        <w:numPr>
          <w:ilvl w:val="0"/>
          <w:numId w:val="1"/>
        </w:numPr>
        <w:spacing w:after="80" w:line="276"/>
      </w:pPr>
      <w:r>
        <w:rPr>
          <w:rFonts w:ascii="Calibri" w:hAnsi="Calibri"/>
          <w:color w:val="26282B"/>
          <w:sz w:val="22"/>
          <w:szCs w:val="22"/>
        </w:rPr>
        <w:t xml:space="preserve">Every table carries created_at and updated_at; status changes are kept in dedicated history tables rather than overwritten in place.</w:t>
      </w:r>
    </w:p>
    <w:p>
      <w:pPr>
        <w:pStyle w:val="ListParagraph"/>
        <w:numPr>
          <w:ilvl w:val="0"/>
          <w:numId w:val="1"/>
        </w:numPr>
        <w:spacing w:after="80" w:line="276"/>
      </w:pPr>
      <w:r>
        <w:rPr>
          <w:rFonts w:ascii="Calibri" w:hAnsi="Calibri"/>
          <w:color w:val="26282B"/>
          <w:sz w:val="22"/>
          <w:szCs w:val="22"/>
        </w:rPr>
        <w:t xml:space="preserve">Soft deletion is used wherever a record must remain auditable.</w:t>
      </w:r>
    </w:p>
    <w:p>
      <w:pPr>
        <w:pStyle w:val="ListParagraph"/>
        <w:numPr>
          <w:ilvl w:val="0"/>
          <w:numId w:val="1"/>
        </w:numPr>
        <w:spacing w:after="80" w:line="276"/>
      </w:pPr>
      <w:r>
        <w:rPr>
          <w:rFonts w:ascii="Calibri" w:hAnsi="Calibri"/>
          <w:color w:val="26282B"/>
          <w:sz w:val="22"/>
          <w:szCs w:val="22"/>
        </w:rPr>
        <w:t xml:space="preserve">JSONB is reserved for genuinely variable metadata only — the schema is not built from generic JSON fields, which would undermine validation, reporting, and long-term data integrity.</w:t>
      </w:r>
    </w:p>
    <w:p>
      <w:pPr>
        <w:pStyle w:val="ListParagraph"/>
        <w:numPr>
          <w:ilvl w:val="0"/>
          <w:numId w:val="1"/>
        </w:numPr>
        <w:spacing w:after="80" w:line="276"/>
      </w:pPr>
      <w:r>
        <w:rPr>
          <w:rFonts w:ascii="Calibri" w:hAnsi="Calibri"/>
          <w:color w:val="26282B"/>
          <w:sz w:val="22"/>
          <w:szCs w:val="22"/>
        </w:rPr>
        <w:t xml:space="preserve">All schema changes go through versioned migrations.</w:t>
      </w:r>
    </w:p>
    <w:p>
      <w:pPr>
        <w:pStyle w:val="Heading2"/>
        <w:keepNext/>
        <w:spacing w:after="140" w:before="300"/>
      </w:pPr>
      <w:r>
        <w:rPr>
          <w:rFonts w:ascii="Calibri" w:hAnsi="Calibri"/>
          <w:b/>
          <w:bCs/>
          <w:color w:val="1B2A4A"/>
        </w:rPr>
        <w:t xml:space="preserve">8.6 Configurability Instead of Hard-Coding</w:t>
      </w:r>
    </w:p>
    <w:p>
      <w:pPr>
        <w:spacing w:after="160" w:line="288"/>
      </w:pPr>
      <w:r>
        <w:rPr>
          <w:rFonts w:ascii="Calibri" w:hAnsi="Calibri"/>
          <w:color w:val="26282B"/>
          <w:sz w:val="22"/>
          <w:szCs w:val="22"/>
        </w:rPr>
        <w:t xml:space="preserve">Professional categories, regulators, specialties, credential types, and service types are stored as configurable records rather than hard-coded values, so that nurses, pharmacists, laboratory scientists, physiotherapists, and other cadres can be added without redesigning the platform. Each professional category can define its own regulator and required credentials, for example:</w:t>
      </w:r>
    </w:p>
    <w:p>
      <w:pPr>
        <w:spacing w:after="160" w:line="288"/>
      </w:pPr>
      <w:r>
        <w:rPr>
          <w:rFonts w:ascii="Calibri" w:hAnsi="Calibri"/>
          <w:i/>
          <w:iCs/>
          <w:color w:val="5B6472"/>
          <w:sz w:val="20"/>
          <w:szCs w:val="20"/>
        </w:rPr>
        <w:t xml:space="preserve">Doctor → Regulator: MDCN · Required: annual practising licence · Specialties: cardiology, surgery, paediatrics…</w:t>
      </w:r>
    </w:p>
    <w:p>
      <w:pPr>
        <w:spacing w:after="160" w:line="288"/>
      </w:pPr>
      <w:r>
        <w:rPr>
          <w:rFonts w:ascii="Calibri" w:hAnsi="Calibri"/>
          <w:i/>
          <w:iCs/>
          <w:color w:val="5B6472"/>
          <w:sz w:val="20"/>
          <w:szCs w:val="20"/>
        </w:rPr>
        <w:t xml:space="preserve">Nurse → Regulator: NMCN · Required: current professional licence · Specialties: ICU, theatre, midwifery…</w:t>
      </w:r>
    </w:p>
    <w:p>
      <w:pPr>
        <w:pStyle w:val="Heading2"/>
        <w:keepNext/>
        <w:spacing w:after="140" w:before="300"/>
      </w:pPr>
      <w:r>
        <w:rPr>
          <w:rFonts w:ascii="Calibri" w:hAnsi="Calibri"/>
          <w:b/>
          <w:bCs/>
          <w:color w:val="1B2A4A"/>
        </w:rPr>
        <w:t xml:space="preserve">8.7 Configurable Workflow Engine</w:t>
      </w:r>
    </w:p>
    <w:p>
      <w:pPr>
        <w:spacing w:after="160" w:line="288"/>
      </w:pPr>
      <w:r>
        <w:rPr>
          <w:rFonts w:ascii="Calibri" w:hAnsi="Calibri"/>
          <w:color w:val="26282B"/>
          <w:sz w:val="22"/>
          <w:szCs w:val="22"/>
        </w:rPr>
        <w:t xml:space="preserve">Different engagement types require different approval sequences. Rather than hard-coding a single flow, allowed status transitions are stored in configuration:</w:t>
      </w:r>
    </w:p>
    <w:p>
      <w:pPr>
        <w:pStyle w:val="ListParagraph"/>
        <w:numPr>
          <w:ilvl w:val="0"/>
          <w:numId w:val="1"/>
        </w:numPr>
        <w:spacing w:after="80" w:line="276"/>
      </w:pPr>
      <w:r>
        <w:rPr>
          <w:rFonts w:ascii="Calibri" w:hAnsi="Calibri"/>
          <w:color w:val="26282B"/>
          <w:sz w:val="22"/>
          <w:szCs w:val="22"/>
        </w:rPr>
        <w:t xml:space="preserve">Standard doctor shift: Published → Applied → Facility Approved → Confirmed.</w:t>
      </w:r>
    </w:p>
    <w:p>
      <w:pPr>
        <w:pStyle w:val="ListParagraph"/>
        <w:numPr>
          <w:ilvl w:val="0"/>
          <w:numId w:val="1"/>
        </w:numPr>
        <w:spacing w:after="80" w:line="276"/>
      </w:pPr>
      <w:r>
        <w:rPr>
          <w:rFonts w:ascii="Calibri" w:hAnsi="Calibri"/>
          <w:color w:val="26282B"/>
          <w:sz w:val="22"/>
          <w:szCs w:val="22"/>
        </w:rPr>
        <w:t xml:space="preserve">Emergency shift: Published → Automatically Matched → Practitioner Confirmed.</w:t>
      </w:r>
    </w:p>
    <w:p>
      <w:pPr>
        <w:pStyle w:val="ListParagraph"/>
        <w:numPr>
          <w:ilvl w:val="0"/>
          <w:numId w:val="1"/>
        </w:numPr>
        <w:spacing w:after="80" w:line="276"/>
      </w:pPr>
      <w:r>
        <w:rPr>
          <w:rFonts w:ascii="Calibri" w:hAnsi="Calibri"/>
          <w:color w:val="26282B"/>
          <w:sz w:val="22"/>
          <w:szCs w:val="22"/>
        </w:rPr>
        <w:t xml:space="preserve">Long-term contract: Application → Interview → Compliance Review → Contract → Confirmed.</w:t>
      </w:r>
    </w:p>
    <w:p>
      <w:pPr>
        <w:pStyle w:val="Heading2"/>
        <w:keepNext/>
        <w:spacing w:after="140" w:before="300"/>
      </w:pPr>
      <w:r>
        <w:rPr>
          <w:rFonts w:ascii="Calibri" w:hAnsi="Calibri"/>
          <w:b/>
          <w:bCs/>
          <w:color w:val="1B2A4A"/>
        </w:rPr>
        <w:t xml:space="preserve">8.8 Permissions, Not Just Roles</w:t>
      </w:r>
    </w:p>
    <w:p>
      <w:pPr>
        <w:spacing w:after="160" w:line="288"/>
      </w:pPr>
      <w:r>
        <w:rPr>
          <w:rFonts w:ascii="Calibri" w:hAnsi="Calibri"/>
          <w:color w:val="26282B"/>
          <w:sz w:val="22"/>
          <w:szCs w:val="22"/>
        </w:rPr>
        <w:t xml:space="preserve">Access control is expressed as granular permissions (e.g. request.create, request.publish, assignment.approve, timesheet.submit, timesheet.approve, payment.release, credential.verify, dispute.resolve, report.export) rather than coarse role checks, so that, for instance, a facility administrator and a facility finance officer can be granted different capabilities without branching logic scattered through the codebase.</w:t>
      </w:r>
    </w:p>
    <w:p>
      <w:pPr>
        <w:pStyle w:val="Heading2"/>
        <w:keepNext/>
        <w:spacing w:after="140" w:before="300"/>
      </w:pPr>
      <w:r>
        <w:rPr>
          <w:rFonts w:ascii="Calibri" w:hAnsi="Calibri"/>
          <w:b/>
          <w:bCs/>
          <w:color w:val="1B2A4A"/>
        </w:rPr>
        <w:t xml:space="preserve">8.9 Feature Flags</w:t>
      </w:r>
    </w:p>
    <w:p>
      <w:pPr>
        <w:spacing w:after="160" w:line="288"/>
      </w:pPr>
      <w:r>
        <w:rPr>
          <w:rFonts w:ascii="Calibri" w:hAnsi="Calibri"/>
          <w:color w:val="26282B"/>
          <w:sz w:val="22"/>
          <w:szCs w:val="22"/>
        </w:rPr>
        <w:t xml:space="preserve">New or risky functionality is rolled out gradually via a feature_flags configuration (key, enabled, rollout_percentage, facility_id, state_code, environment, configuration) — for example, enabling automatic matching in Lagos only, piloting a new payment provider with internal users, or releasing a new timesheet workflow to a small group of facilities before a full rollout.</w:t>
      </w:r>
    </w:p>
    <w:p>
      <w:pPr>
        <w:pStyle w:val="Heading2"/>
        <w:keepNext/>
        <w:spacing w:after="140" w:before="300"/>
      </w:pPr>
      <w:r>
        <w:rPr>
          <w:rFonts w:ascii="Calibri" w:hAnsi="Calibri"/>
          <w:b/>
          <w:bCs/>
          <w:color w:val="1B2A4A"/>
        </w:rPr>
        <w:t xml:space="preserve">8.10 API Versioning</w:t>
      </w:r>
    </w:p>
    <w:p>
      <w:pPr>
        <w:spacing w:after="160" w:line="288"/>
      </w:pPr>
      <w:r>
        <w:rPr>
          <w:rFonts w:ascii="Calibri" w:hAnsi="Calibri"/>
          <w:color w:val="26282B"/>
          <w:sz w:val="22"/>
          <w:szCs w:val="22"/>
        </w:rPr>
        <w:t xml:space="preserve">API contracts are versioned from day one (/api/v1/practitioners, /api/v1/facilities, /api/v1/service-requests, /api/v1/assignments) so that breaking changes can be introduced under /api/v2 in future without immediately breaking mobile clients or third-party integrations.</w:t>
      </w:r>
    </w:p>
    <w:p>
      <w:pPr>
        <w:pStyle w:val="Heading2"/>
        <w:keepNext/>
        <w:spacing w:after="140" w:before="300"/>
      </w:pPr>
      <w:r>
        <w:rPr>
          <w:rFonts w:ascii="Calibri" w:hAnsi="Calibri"/>
          <w:b/>
          <w:bCs/>
          <w:color w:val="1B2A4A"/>
        </w:rPr>
        <w:t xml:space="preserve">8.11 Recommended Codebase Layout</w:t>
      </w:r>
    </w:p>
    <w:p>
      <w:pPr>
        <w:spacing w:after="160" w:line="288"/>
      </w:pPr>
      <w:r>
        <w:rPr>
          <w:rFonts w:ascii="Calibri" w:hAnsi="Calibri"/>
          <w:color w:val="26282B"/>
          <w:sz w:val="19"/>
          <w:szCs w:val="19"/>
        </w:rPr>
        <w:t xml:space="preserve">src/
├── app/                        (auth), practitioner/, facility/, admin/, api/
├── modules/                    auth, practitioners, credentials, facilities, availability,
│                              service-requests, matching, scheduling, attendance,
│                              timesheets, contracts, billing, payments, disputes,
│                              notifications, compliance
├── infrastructure/             database, payments, messaging, storage, background-jobs
└── shared/                     authorization, validation, errors, audit, types</w:t>
      </w:r>
    </w:p>
    <w:p>
      <w:pPr>
        <w:spacing w:after="240" w:before="60"/>
      </w:pPr>
      <w:r>
        <w:rPr>
          <w:rFonts w:ascii="Calibri" w:hAnsi="Calibri"/>
          <w:i/>
          <w:iCs/>
          <w:color w:val="5B6472"/>
          <w:sz w:val="18"/>
          <w:szCs w:val="18"/>
        </w:rPr>
        <w:t xml:space="preserve">Fixed-width layout of the codebase tree; module names correspond directly to the modules documented in Section 9.</w:t>
      </w:r>
    </w:p>
    <w:p>
      <w:r>
        <w:rPr>
          <w:rFonts w:ascii="Calibri" w:hAnsi="Calibri"/>
        </w:rPr>
        <w:br w:type="page"/>
      </w:r>
    </w:p>
    <w:p>
      <w:pPr>
        <w:pStyle w:val="Heading1"/>
        <w:keepNext/>
        <w:pBdr>
          <w:bottom w:val="single" w:color="0F7C6C" w:sz="8" w:space="4"/>
        </w:pBdr>
        <w:spacing w:after="200" w:before="420"/>
      </w:pPr>
      <w:r>
        <w:rPr>
          <w:rFonts w:ascii="Calibri" w:hAnsi="Calibri"/>
          <w:b/>
          <w:bCs/>
          <w:color w:val="1B2A4A"/>
        </w:rPr>
        <w:t xml:space="preserve">9. System Modules</w:t>
      </w:r>
    </w:p>
    <w:p>
      <w:pPr>
        <w:spacing w:after="160" w:line="288"/>
      </w:pPr>
      <w:r>
        <w:rPr>
          <w:rFonts w:ascii="Calibri" w:hAnsi="Calibri"/>
          <w:color w:val="26282B"/>
          <w:sz w:val="22"/>
          <w:szCs w:val="22"/>
        </w:rPr>
        <w:t xml:space="preserve">Modules are grouped by priority. Priority 0 (P0) modules form the safe, commercially usable Nigerian MVP and must ship together, since the core workflow in Section 5 depends on all of them. Priority 1 (P1) modules are added once that workflow is stable in production. Priority 2 (P2) modules extend Medilink from a staffing tool into a broader healthcare workforce ecosystem.</w:t>
      </w:r>
    </w:p>
    <w:p>
      <w:pPr>
        <w:pStyle w:val="Heading2"/>
        <w:keepNext/>
        <w:spacing w:after="140" w:before="300"/>
      </w:pPr>
      <w:r>
        <w:rPr>
          <w:rFonts w:ascii="Calibri" w:hAnsi="Calibri"/>
          <w:b/>
          <w:bCs/>
          <w:color w:val="1B2A4A"/>
        </w:rPr>
        <w:t xml:space="preserve">9.1 Priority 0 — Core Modules (MVP)</w:t>
      </w:r>
    </w:p>
    <w:p>
      <w:pPr>
        <w:pStyle w:val="Heading3"/>
        <w:keepNext/>
        <w:spacing w:after="100" w:before="220"/>
      </w:pPr>
      <w:r>
        <w:rPr>
          <w:rFonts w:ascii="Calibri" w:hAnsi="Calibri"/>
          <w:b/>
          <w:bCs/>
          <w:color w:val="0F7C6C"/>
        </w:rPr>
        <w:t xml:space="preserve">1. Authentication and Access Control</w:t>
      </w:r>
    </w:p>
    <w:p>
      <w:pPr>
        <w:spacing w:after="160" w:line="288"/>
      </w:pPr>
      <w:r>
        <w:rPr>
          <w:rFonts w:ascii="Calibri" w:hAnsi="Calibri"/>
          <w:color w:val="26282B"/>
          <w:sz w:val="22"/>
          <w:szCs w:val="22"/>
        </w:rPr>
        <w:t xml:space="preserve">Manages access for practitioners, facilities, administrators, and finance personnel.</w:t>
      </w:r>
    </w:p>
    <w:p>
      <w:pPr>
        <w:pStyle w:val="ListParagraph"/>
        <w:numPr>
          <w:ilvl w:val="0"/>
          <w:numId w:val="1"/>
        </w:numPr>
        <w:spacing w:after="80" w:line="276"/>
      </w:pPr>
      <w:r>
        <w:rPr>
          <w:rFonts w:ascii="Calibri" w:hAnsi="Calibri"/>
          <w:color w:val="26282B"/>
          <w:sz w:val="22"/>
          <w:szCs w:val="22"/>
        </w:rPr>
        <w:t xml:space="preserve">Email and Nigerian phone-number registration with OTP verification</w:t>
      </w:r>
    </w:p>
    <w:p>
      <w:pPr>
        <w:pStyle w:val="ListParagraph"/>
        <w:numPr>
          <w:ilvl w:val="0"/>
          <w:numId w:val="1"/>
        </w:numPr>
        <w:spacing w:after="80" w:line="276"/>
      </w:pPr>
      <w:r>
        <w:rPr>
          <w:rFonts w:ascii="Calibri" w:hAnsi="Calibri"/>
          <w:color w:val="26282B"/>
          <w:sz w:val="22"/>
          <w:szCs w:val="22"/>
        </w:rPr>
        <w:t xml:space="preserve">Secure login, password recovery, and optional multi-factor authentication</w:t>
      </w:r>
    </w:p>
    <w:p>
      <w:pPr>
        <w:pStyle w:val="ListParagraph"/>
        <w:numPr>
          <w:ilvl w:val="0"/>
          <w:numId w:val="1"/>
        </w:numPr>
        <w:spacing w:after="80" w:line="276"/>
      </w:pPr>
      <w:r>
        <w:rPr>
          <w:rFonts w:ascii="Calibri" w:hAnsi="Calibri"/>
          <w:color w:val="26282B"/>
          <w:sz w:val="22"/>
          <w:szCs w:val="22"/>
        </w:rPr>
        <w:t xml:space="preserve">Role-based access control layered with granular permissions</w:t>
      </w:r>
    </w:p>
    <w:p>
      <w:pPr>
        <w:pStyle w:val="ListParagraph"/>
        <w:numPr>
          <w:ilvl w:val="0"/>
          <w:numId w:val="1"/>
        </w:numPr>
        <w:spacing w:after="80" w:line="276"/>
      </w:pPr>
      <w:r>
        <w:rPr>
          <w:rFonts w:ascii="Calibri" w:hAnsi="Calibri"/>
          <w:color w:val="26282B"/>
          <w:sz w:val="22"/>
          <w:szCs w:val="22"/>
        </w:rPr>
        <w:t xml:space="preserve">Session and device management</w:t>
      </w:r>
    </w:p>
    <w:p>
      <w:pPr>
        <w:pStyle w:val="ListParagraph"/>
        <w:numPr>
          <w:ilvl w:val="0"/>
          <w:numId w:val="1"/>
        </w:numPr>
        <w:spacing w:after="80" w:line="276"/>
      </w:pPr>
      <w:r>
        <w:rPr>
          <w:rFonts w:ascii="Calibri" w:hAnsi="Calibri"/>
          <w:color w:val="26282B"/>
          <w:sz w:val="22"/>
          <w:szCs w:val="22"/>
        </w:rPr>
        <w:t xml:space="preserve">Account suspension and deactivation</w:t>
      </w:r>
    </w:p>
    <w:p>
      <w:pPr>
        <w:pStyle w:val="ListParagraph"/>
        <w:numPr>
          <w:ilvl w:val="0"/>
          <w:numId w:val="1"/>
        </w:numPr>
        <w:spacing w:after="80" w:line="276"/>
      </w:pPr>
      <w:r>
        <w:rPr>
          <w:rFonts w:ascii="Calibri" w:hAnsi="Calibri"/>
          <w:color w:val="26282B"/>
          <w:sz w:val="22"/>
          <w:szCs w:val="22"/>
        </w:rPr>
        <w:t xml:space="preserve">Administrative impersonation with full audit trail</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users, roles, permissions, user_roles, sessions, login_attempts, devices</w:t>
      </w:r>
    </w:p>
    <w:p>
      <w:pPr>
        <w:pStyle w:val="Heading3"/>
        <w:keepNext/>
        <w:spacing w:after="100" w:before="220"/>
      </w:pPr>
      <w:r>
        <w:rPr>
          <w:rFonts w:ascii="Calibri" w:hAnsi="Calibri"/>
          <w:b/>
          <w:bCs/>
          <w:color w:val="0F7C6C"/>
        </w:rPr>
        <w:t xml:space="preserve">2. Practitioner Management</w:t>
      </w:r>
    </w:p>
    <w:p>
      <w:pPr>
        <w:spacing w:after="160" w:line="288"/>
      </w:pPr>
      <w:r>
        <w:rPr>
          <w:rFonts w:ascii="Calibri" w:hAnsi="Calibri"/>
          <w:color w:val="26282B"/>
          <w:sz w:val="22"/>
          <w:szCs w:val="22"/>
        </w:rPr>
        <w:t xml:space="preserve">Maintains professional profiles for doctors and, over time, other licensed health workers.</w:t>
      </w:r>
    </w:p>
    <w:p>
      <w:pPr>
        <w:pStyle w:val="ListParagraph"/>
        <w:numPr>
          <w:ilvl w:val="0"/>
          <w:numId w:val="1"/>
        </w:numPr>
        <w:spacing w:after="80" w:line="276"/>
      </w:pPr>
      <w:r>
        <w:rPr>
          <w:rFonts w:ascii="Calibri" w:hAnsi="Calibri"/>
          <w:color w:val="26282B"/>
          <w:sz w:val="22"/>
          <w:szCs w:val="22"/>
        </w:rPr>
        <w:t xml:space="preserve">Personal, contact, state/LGA and current-location data</w:t>
      </w:r>
    </w:p>
    <w:p>
      <w:pPr>
        <w:pStyle w:val="ListParagraph"/>
        <w:numPr>
          <w:ilvl w:val="0"/>
          <w:numId w:val="1"/>
        </w:numPr>
        <w:spacing w:after="80" w:line="276"/>
      </w:pPr>
      <w:r>
        <w:rPr>
          <w:rFonts w:ascii="Calibri" w:hAnsi="Calibri"/>
          <w:color w:val="26282B"/>
          <w:sz w:val="22"/>
          <w:szCs w:val="22"/>
        </w:rPr>
        <w:t xml:space="preserve">Professional category, specialty, and subspecialty</w:t>
      </w:r>
    </w:p>
    <w:p>
      <w:pPr>
        <w:pStyle w:val="ListParagraph"/>
        <w:numPr>
          <w:ilvl w:val="0"/>
          <w:numId w:val="1"/>
        </w:numPr>
        <w:spacing w:after="80" w:line="276"/>
      </w:pPr>
      <w:r>
        <w:rPr>
          <w:rFonts w:ascii="Calibri" w:hAnsi="Calibri"/>
          <w:color w:val="26282B"/>
          <w:sz w:val="22"/>
          <w:szCs w:val="22"/>
        </w:rPr>
        <w:t xml:space="preserve">Years of experience and work history</w:t>
      </w:r>
    </w:p>
    <w:p>
      <w:pPr>
        <w:pStyle w:val="ListParagraph"/>
        <w:numPr>
          <w:ilvl w:val="0"/>
          <w:numId w:val="1"/>
        </w:numPr>
        <w:spacing w:after="80" w:line="276"/>
      </w:pPr>
      <w:r>
        <w:rPr>
          <w:rFonts w:ascii="Calibri" w:hAnsi="Calibri"/>
          <w:color w:val="26282B"/>
          <w:sz w:val="22"/>
          <w:szCs w:val="22"/>
        </w:rPr>
        <w:t xml:space="preserve">Preferred locations, shift types, and rate expectations</w:t>
      </w:r>
    </w:p>
    <w:p>
      <w:pPr>
        <w:pStyle w:val="ListParagraph"/>
        <w:numPr>
          <w:ilvl w:val="0"/>
          <w:numId w:val="1"/>
        </w:numPr>
        <w:spacing w:after="80" w:line="276"/>
      </w:pPr>
      <w:r>
        <w:rPr>
          <w:rFonts w:ascii="Calibri" w:hAnsi="Calibri"/>
          <w:color w:val="26282B"/>
          <w:sz w:val="22"/>
          <w:szCs w:val="22"/>
        </w:rPr>
        <w:t xml:space="preserve">Configurable practitioner categories: doctors, dentists, nurses/midwives, pharmacists, laboratory scientists, radiographers, physiotherapists, community health practitioners</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practitioner_profiles, specialties, practitioner_specialties, work_experiences, professional_categories, practitioner_preferences</w:t>
      </w:r>
    </w:p>
    <w:p>
      <w:pPr>
        <w:pStyle w:val="Heading3"/>
        <w:keepNext/>
        <w:spacing w:after="100" w:before="220"/>
      </w:pPr>
      <w:r>
        <w:rPr>
          <w:rFonts w:ascii="Calibri" w:hAnsi="Calibri"/>
          <w:b/>
          <w:bCs/>
          <w:color w:val="0F7C6C"/>
        </w:rPr>
        <w:t xml:space="preserve">3. Credential and Compliance Verification</w:t>
      </w:r>
    </w:p>
    <w:p>
      <w:pPr>
        <w:spacing w:after="160" w:line="288"/>
      </w:pPr>
      <w:r>
        <w:rPr>
          <w:rFonts w:ascii="Calibri" w:hAnsi="Calibri"/>
          <w:color w:val="26282B"/>
          <w:sz w:val="22"/>
          <w:szCs w:val="22"/>
        </w:rPr>
        <w:t xml:space="preserve">A clinical-safety module, not an optional add-on — it is part of the MVP by necessity.</w:t>
      </w:r>
    </w:p>
    <w:p>
      <w:pPr>
        <w:pStyle w:val="ListParagraph"/>
        <w:numPr>
          <w:ilvl w:val="0"/>
          <w:numId w:val="1"/>
        </w:numPr>
        <w:spacing w:after="80" w:line="276"/>
      </w:pPr>
      <w:r>
        <w:rPr>
          <w:rFonts w:ascii="Calibri" w:hAnsi="Calibri"/>
          <w:color w:val="26282B"/>
          <w:sz w:val="22"/>
          <w:szCs w:val="22"/>
        </w:rPr>
        <w:t xml:space="preserve">MDCN folio number for doctors and dentists; equivalent regulator ID for other cadres</w:t>
      </w:r>
    </w:p>
    <w:p>
      <w:pPr>
        <w:pStyle w:val="ListParagraph"/>
        <w:numPr>
          <w:ilvl w:val="0"/>
          <w:numId w:val="1"/>
        </w:numPr>
        <w:spacing w:after="80" w:line="276"/>
      </w:pPr>
      <w:r>
        <w:rPr>
          <w:rFonts w:ascii="Calibri" w:hAnsi="Calibri"/>
          <w:color w:val="26282B"/>
          <w:sz w:val="22"/>
          <w:szCs w:val="22"/>
        </w:rPr>
        <w:t xml:space="preserve">Annual practising licence and qualification documents</w:t>
      </w:r>
    </w:p>
    <w:p>
      <w:pPr>
        <w:pStyle w:val="ListParagraph"/>
        <w:numPr>
          <w:ilvl w:val="0"/>
          <w:numId w:val="1"/>
        </w:numPr>
        <w:spacing w:after="80" w:line="276"/>
      </w:pPr>
      <w:r>
        <w:rPr>
          <w:rFonts w:ascii="Calibri" w:hAnsi="Calibri"/>
          <w:color w:val="26282B"/>
          <w:sz w:val="22"/>
          <w:szCs w:val="22"/>
        </w:rPr>
        <w:t xml:space="preserve">Government-issued identification and professional indemnity information</w:t>
      </w:r>
    </w:p>
    <w:p>
      <w:pPr>
        <w:pStyle w:val="ListParagraph"/>
        <w:numPr>
          <w:ilvl w:val="0"/>
          <w:numId w:val="1"/>
        </w:numPr>
        <w:spacing w:after="80" w:line="276"/>
      </w:pPr>
      <w:r>
        <w:rPr>
          <w:rFonts w:ascii="Calibri" w:hAnsi="Calibri"/>
          <w:color w:val="26282B"/>
          <w:sz w:val="22"/>
          <w:szCs w:val="22"/>
        </w:rPr>
        <w:t xml:space="preserve">Certificate expiry tracking with automated renewal notifications</w:t>
      </w:r>
    </w:p>
    <w:p>
      <w:pPr>
        <w:pStyle w:val="ListParagraph"/>
        <w:numPr>
          <w:ilvl w:val="0"/>
          <w:numId w:val="1"/>
        </w:numPr>
        <w:spacing w:after="80" w:line="276"/>
      </w:pPr>
      <w:r>
        <w:rPr>
          <w:rFonts w:ascii="Calibri" w:hAnsi="Calibri"/>
          <w:color w:val="26282B"/>
          <w:sz w:val="22"/>
          <w:szCs w:val="22"/>
        </w:rPr>
        <w:t xml:space="preserve">Manual and automated verification with a compliance review queue</w:t>
      </w:r>
    </w:p>
    <w:p>
      <w:pPr>
        <w:pStyle w:val="ListParagraph"/>
        <w:numPr>
          <w:ilvl w:val="0"/>
          <w:numId w:val="1"/>
        </w:numPr>
        <w:spacing w:after="80" w:line="276"/>
      </w:pPr>
      <w:r>
        <w:rPr>
          <w:rFonts w:ascii="Calibri" w:hAnsi="Calibri"/>
          <w:color w:val="26282B"/>
          <w:sz w:val="22"/>
          <w:szCs w:val="22"/>
        </w:rPr>
        <w:t xml:space="preserve">Rejection/resubmission workflow; automatic suspension on expiry</w:t>
      </w:r>
    </w:p>
    <w:p>
      <w:pPr>
        <w:pStyle w:val="ListParagraph"/>
        <w:numPr>
          <w:ilvl w:val="0"/>
          <w:numId w:val="1"/>
        </w:numPr>
        <w:spacing w:after="80" w:line="276"/>
      </w:pPr>
      <w:r>
        <w:rPr>
          <w:rFonts w:ascii="Calibri" w:hAnsi="Calibri"/>
          <w:color w:val="26282B"/>
          <w:sz w:val="22"/>
          <w:szCs w:val="22"/>
        </w:rPr>
        <w:t xml:space="preserve">Statuses: Draft, Submitted, Under review, Verified, Rejected, Expired, Suspended</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credentials, credential_types, credential_documents, verification_reviews, verification_sources, compliance_flags</w:t>
      </w:r>
    </w:p>
    <w:p>
      <w:pPr>
        <w:pStyle w:val="Heading3"/>
        <w:keepNext/>
        <w:spacing w:after="100" w:before="220"/>
      </w:pPr>
      <w:r>
        <w:rPr>
          <w:rFonts w:ascii="Calibri" w:hAnsi="Calibri"/>
          <w:b/>
          <w:bCs/>
          <w:color w:val="0F7C6C"/>
        </w:rPr>
        <w:t xml:space="preserve">4. Healthcare Facility Management</w:t>
      </w:r>
    </w:p>
    <w:p>
      <w:pPr>
        <w:spacing w:after="160" w:line="288"/>
      </w:pPr>
      <w:r>
        <w:rPr>
          <w:rFonts w:ascii="Calibri" w:hAnsi="Calibri"/>
          <w:color w:val="26282B"/>
          <w:sz w:val="22"/>
          <w:szCs w:val="22"/>
        </w:rPr>
        <w:t xml:space="preserve">Registers and verifies hospitals, clinics, laboratories, and other approved facilities.</w:t>
      </w:r>
    </w:p>
    <w:p>
      <w:pPr>
        <w:pStyle w:val="ListParagraph"/>
        <w:numPr>
          <w:ilvl w:val="0"/>
          <w:numId w:val="1"/>
        </w:numPr>
        <w:spacing w:after="80" w:line="276"/>
      </w:pPr>
      <w:r>
        <w:rPr>
          <w:rFonts w:ascii="Calibri" w:hAnsi="Calibri"/>
          <w:color w:val="26282B"/>
          <w:sz w:val="22"/>
          <w:szCs w:val="22"/>
        </w:rPr>
        <w:t xml:space="preserve">Legal/trading names, CAC registration, and facility licence</w:t>
      </w:r>
    </w:p>
    <w:p>
      <w:pPr>
        <w:pStyle w:val="ListParagraph"/>
        <w:numPr>
          <w:ilvl w:val="0"/>
          <w:numId w:val="1"/>
        </w:numPr>
        <w:spacing w:after="80" w:line="276"/>
      </w:pPr>
      <w:r>
        <w:rPr>
          <w:rFonts w:ascii="Calibri" w:hAnsi="Calibri"/>
          <w:color w:val="26282B"/>
          <w:sz w:val="22"/>
          <w:szCs w:val="22"/>
        </w:rPr>
        <w:t xml:space="preserve">Facility type, ownership type, state/LGA, and physical address</w:t>
      </w:r>
    </w:p>
    <w:p>
      <w:pPr>
        <w:pStyle w:val="ListParagraph"/>
        <w:numPr>
          <w:ilvl w:val="0"/>
          <w:numId w:val="1"/>
        </w:numPr>
        <w:spacing w:after="80" w:line="276"/>
      </w:pPr>
      <w:r>
        <w:rPr>
          <w:rFonts w:ascii="Calibri" w:hAnsi="Calibri"/>
          <w:color w:val="26282B"/>
          <w:sz w:val="22"/>
          <w:szCs w:val="22"/>
        </w:rPr>
        <w:t xml:space="preserve">Multiple branches and departments</w:t>
      </w:r>
    </w:p>
    <w:p>
      <w:pPr>
        <w:pStyle w:val="ListParagraph"/>
        <w:numPr>
          <w:ilvl w:val="0"/>
          <w:numId w:val="1"/>
        </w:numPr>
        <w:spacing w:after="80" w:line="276"/>
      </w:pPr>
      <w:r>
        <w:rPr>
          <w:rFonts w:ascii="Calibri" w:hAnsi="Calibri"/>
          <w:color w:val="26282B"/>
          <w:sz w:val="22"/>
          <w:szCs w:val="22"/>
        </w:rPr>
        <w:t xml:space="preserve">Authorised representatives, billing contacts, and shift supervisors</w:t>
      </w:r>
    </w:p>
    <w:p>
      <w:pPr>
        <w:pStyle w:val="ListParagraph"/>
        <w:numPr>
          <w:ilvl w:val="0"/>
          <w:numId w:val="1"/>
        </w:numPr>
        <w:spacing w:after="80" w:line="276"/>
      </w:pPr>
      <w:r>
        <w:rPr>
          <w:rFonts w:ascii="Calibri" w:hAnsi="Calibri"/>
          <w:color w:val="26282B"/>
          <w:sz w:val="22"/>
          <w:szCs w:val="22"/>
        </w:rPr>
        <w:t xml:space="preserve">Facility verification, suspension, and risk flags</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facilities, facility_branches, departments, facility_users, facility_documents, facility_verifications</w:t>
      </w:r>
    </w:p>
    <w:p>
      <w:pPr>
        <w:pStyle w:val="Heading3"/>
        <w:keepNext/>
        <w:spacing w:after="100" w:before="220"/>
      </w:pPr>
      <w:r>
        <w:rPr>
          <w:rFonts w:ascii="Calibri" w:hAnsi="Calibri"/>
          <w:b/>
          <w:bCs/>
          <w:color w:val="0F7C6C"/>
        </w:rPr>
        <w:t xml:space="preserve">5. Practitioner Availability</w:t>
      </w:r>
    </w:p>
    <w:p>
      <w:pPr>
        <w:spacing w:after="160" w:line="288"/>
      </w:pPr>
      <w:r>
        <w:rPr>
          <w:rFonts w:ascii="Calibri" w:hAnsi="Calibri"/>
          <w:color w:val="26282B"/>
          <w:sz w:val="22"/>
          <w:szCs w:val="22"/>
        </w:rPr>
        <w:t xml:space="preserve">Lets practitioners specify when and where they can work.</w:t>
      </w:r>
    </w:p>
    <w:p>
      <w:pPr>
        <w:pStyle w:val="ListParagraph"/>
        <w:numPr>
          <w:ilvl w:val="0"/>
          <w:numId w:val="1"/>
        </w:numPr>
        <w:spacing w:after="80" w:line="276"/>
      </w:pPr>
      <w:r>
        <w:rPr>
          <w:rFonts w:ascii="Calibri" w:hAnsi="Calibri"/>
          <w:color w:val="26282B"/>
          <w:sz w:val="22"/>
          <w:szCs w:val="22"/>
        </w:rPr>
        <w:t xml:space="preserve">Available dates/times, recurring availability, and blocked periods</w:t>
      </w:r>
    </w:p>
    <w:p>
      <w:pPr>
        <w:pStyle w:val="ListParagraph"/>
        <w:numPr>
          <w:ilvl w:val="0"/>
          <w:numId w:val="1"/>
        </w:numPr>
        <w:spacing w:after="80" w:line="276"/>
      </w:pPr>
      <w:r>
        <w:rPr>
          <w:rFonts w:ascii="Calibri" w:hAnsi="Calibri"/>
          <w:color w:val="26282B"/>
          <w:sz w:val="22"/>
          <w:szCs w:val="22"/>
        </w:rPr>
        <w:t xml:space="preserve">Preferred states, LGAs, and maximum travel distance</w:t>
      </w:r>
    </w:p>
    <w:p>
      <w:pPr>
        <w:pStyle w:val="ListParagraph"/>
        <w:numPr>
          <w:ilvl w:val="0"/>
          <w:numId w:val="1"/>
        </w:numPr>
        <w:spacing w:after="80" w:line="276"/>
      </w:pPr>
      <w:r>
        <w:rPr>
          <w:rFonts w:ascii="Calibri" w:hAnsi="Calibri"/>
          <w:color w:val="26282B"/>
          <w:sz w:val="22"/>
          <w:szCs w:val="22"/>
        </w:rPr>
        <w:t xml:space="preserve">Day, night, weekend, and public-holiday preferences</w:t>
      </w:r>
    </w:p>
    <w:p>
      <w:pPr>
        <w:pStyle w:val="ListParagraph"/>
        <w:numPr>
          <w:ilvl w:val="0"/>
          <w:numId w:val="1"/>
        </w:numPr>
        <w:spacing w:after="80" w:line="276"/>
      </w:pPr>
      <w:r>
        <w:rPr>
          <w:rFonts w:ascii="Calibri" w:hAnsi="Calibri"/>
          <w:color w:val="26282B"/>
          <w:sz w:val="22"/>
          <w:szCs w:val="22"/>
        </w:rPr>
        <w:t xml:space="preserve">On-call availability and calendar conflict detection</w:t>
      </w:r>
    </w:p>
    <w:p>
      <w:pPr>
        <w:pStyle w:val="ListParagraph"/>
        <w:numPr>
          <w:ilvl w:val="0"/>
          <w:numId w:val="1"/>
        </w:numPr>
        <w:spacing w:after="80" w:line="276"/>
      </w:pPr>
      <w:r>
        <w:rPr>
          <w:rFonts w:ascii="Calibri" w:hAnsi="Calibri"/>
          <w:color w:val="26282B"/>
          <w:sz w:val="22"/>
          <w:szCs w:val="22"/>
        </w:rPr>
        <w:t xml:space="preserve">Maximum working-hours controls</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availability_slots, availability_rules, blocked_periods, location_preferences</w:t>
      </w:r>
    </w:p>
    <w:p>
      <w:pPr>
        <w:pStyle w:val="Heading3"/>
        <w:keepNext/>
        <w:spacing w:after="100" w:before="220"/>
      </w:pPr>
      <w:r>
        <w:rPr>
          <w:rFonts w:ascii="Calibri" w:hAnsi="Calibri"/>
          <w:b/>
          <w:bCs/>
          <w:color w:val="0F7C6C"/>
        </w:rPr>
        <w:t xml:space="preserve">6. Service Request and Shift Management</w:t>
      </w:r>
    </w:p>
    <w:p>
      <w:pPr>
        <w:spacing w:after="160" w:line="288"/>
      </w:pPr>
      <w:r>
        <w:rPr>
          <w:rFonts w:ascii="Calibri" w:hAnsi="Calibri"/>
          <w:color w:val="26282B"/>
          <w:sz w:val="22"/>
          <w:szCs w:val="22"/>
        </w:rPr>
        <w:t xml:space="preserve">Allows facilities to request qualified practitioners with full context.</w:t>
      </w:r>
    </w:p>
    <w:p>
      <w:pPr>
        <w:pStyle w:val="ListParagraph"/>
        <w:numPr>
          <w:ilvl w:val="0"/>
          <w:numId w:val="1"/>
        </w:numPr>
        <w:spacing w:after="80" w:line="276"/>
      </w:pPr>
      <w:r>
        <w:rPr>
          <w:rFonts w:ascii="Calibri" w:hAnsi="Calibri"/>
          <w:color w:val="26282B"/>
          <w:sz w:val="22"/>
          <w:szCs w:val="22"/>
        </w:rPr>
        <w:t xml:space="preserve">Facility, branch, department, practitioner category, and specialty</w:t>
      </w:r>
    </w:p>
    <w:p>
      <w:pPr>
        <w:pStyle w:val="ListParagraph"/>
        <w:numPr>
          <w:ilvl w:val="0"/>
          <w:numId w:val="1"/>
        </w:numPr>
        <w:spacing w:after="80" w:line="276"/>
      </w:pPr>
      <w:r>
        <w:rPr>
          <w:rFonts w:ascii="Calibri" w:hAnsi="Calibri"/>
          <w:color w:val="26282B"/>
          <w:sz w:val="22"/>
          <w:szCs w:val="22"/>
        </w:rPr>
        <w:t xml:space="preserve">Number of practitioners required, shift date/time, and responsibilities</w:t>
      </w:r>
    </w:p>
    <w:p>
      <w:pPr>
        <w:pStyle w:val="ListParagraph"/>
        <w:numPr>
          <w:ilvl w:val="0"/>
          <w:numId w:val="1"/>
        </w:numPr>
        <w:spacing w:after="80" w:line="276"/>
      </w:pPr>
      <w:r>
        <w:rPr>
          <w:rFonts w:ascii="Calibri" w:hAnsi="Calibri"/>
          <w:color w:val="26282B"/>
          <w:sz w:val="22"/>
          <w:szCs w:val="22"/>
        </w:rPr>
        <w:t xml:space="preserve">Minimum experience and required credentials</w:t>
      </w:r>
    </w:p>
    <w:p>
      <w:pPr>
        <w:pStyle w:val="ListParagraph"/>
        <w:numPr>
          <w:ilvl w:val="0"/>
          <w:numId w:val="1"/>
        </w:numPr>
        <w:spacing w:after="80" w:line="276"/>
      </w:pPr>
      <w:r>
        <w:rPr>
          <w:rFonts w:ascii="Calibri" w:hAnsi="Calibri"/>
          <w:color w:val="26282B"/>
          <w:sz w:val="22"/>
          <w:szCs w:val="22"/>
        </w:rPr>
        <w:t xml:space="preserve">Rate, allowances, and any accommodation/transport information</w:t>
      </w:r>
    </w:p>
    <w:p>
      <w:pPr>
        <w:pStyle w:val="ListParagraph"/>
        <w:numPr>
          <w:ilvl w:val="0"/>
          <w:numId w:val="1"/>
        </w:numPr>
        <w:spacing w:after="80" w:line="276"/>
      </w:pPr>
      <w:r>
        <w:rPr>
          <w:rFonts w:ascii="Calibri" w:hAnsi="Calibri"/>
          <w:color w:val="26282B"/>
          <w:sz w:val="22"/>
          <w:szCs w:val="22"/>
        </w:rPr>
        <w:t xml:space="preserve">Cancellation terms, application deadline, and urgency level</w:t>
      </w:r>
    </w:p>
    <w:p>
      <w:pPr>
        <w:pStyle w:val="ListParagraph"/>
        <w:numPr>
          <w:ilvl w:val="0"/>
          <w:numId w:val="1"/>
        </w:numPr>
        <w:spacing w:after="80" w:line="276"/>
      </w:pPr>
      <w:r>
        <w:rPr>
          <w:rFonts w:ascii="Calibri" w:hAnsi="Calibri"/>
          <w:color w:val="26282B"/>
          <w:sz w:val="22"/>
          <w:szCs w:val="22"/>
        </w:rPr>
        <w:t xml:space="preserve">Statuses: Draft, Published, Matching, Partially filled, Filled, In progress, Completed, Cancelled, Disputed</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service_requests, shift_positions, shift_requirements, shift_rates, request_status_history</w:t>
      </w:r>
    </w:p>
    <w:p>
      <w:pPr>
        <w:pStyle w:val="Heading3"/>
        <w:keepNext/>
        <w:spacing w:after="100" w:before="220"/>
      </w:pPr>
      <w:r>
        <w:rPr>
          <w:rFonts w:ascii="Calibri" w:hAnsi="Calibri"/>
          <w:b/>
          <w:bCs/>
          <w:color w:val="0F7C6C"/>
        </w:rPr>
        <w:t xml:space="preserve">7. Matching and Assignment</w:t>
      </w:r>
    </w:p>
    <w:p>
      <w:pPr>
        <w:spacing w:after="160" w:line="288"/>
      </w:pPr>
      <w:r>
        <w:rPr>
          <w:rFonts w:ascii="Calibri" w:hAnsi="Calibri"/>
          <w:color w:val="26282B"/>
          <w:sz w:val="22"/>
          <w:szCs w:val="22"/>
        </w:rPr>
        <w:t xml:space="preserve">Matches each request to safe, suitable practitioners — never simply the first to click accept.</w:t>
      </w:r>
    </w:p>
    <w:p>
      <w:pPr>
        <w:pStyle w:val="ListParagraph"/>
        <w:numPr>
          <w:ilvl w:val="0"/>
          <w:numId w:val="1"/>
        </w:numPr>
        <w:spacing w:after="80" w:line="276"/>
      </w:pPr>
      <w:r>
        <w:rPr>
          <w:rFonts w:ascii="Calibri" w:hAnsi="Calibri"/>
          <w:color w:val="26282B"/>
          <w:sz w:val="22"/>
          <w:szCs w:val="22"/>
        </w:rPr>
        <w:t xml:space="preserve">Filters on active licence, category, specialty, experience, availability, location/travel time</w:t>
      </w:r>
    </w:p>
    <w:p>
      <w:pPr>
        <w:pStyle w:val="ListParagraph"/>
        <w:numPr>
          <w:ilvl w:val="0"/>
          <w:numId w:val="1"/>
        </w:numPr>
        <w:spacing w:after="80" w:line="276"/>
      </w:pPr>
      <w:r>
        <w:rPr>
          <w:rFonts w:ascii="Calibri" w:hAnsi="Calibri"/>
          <w:color w:val="26282B"/>
          <w:sz w:val="22"/>
          <w:szCs w:val="22"/>
        </w:rPr>
        <w:t xml:space="preserve">Working-hour and fatigue limits, facility preferences, and prior reliability</w:t>
      </w:r>
    </w:p>
    <w:p>
      <w:pPr>
        <w:pStyle w:val="ListParagraph"/>
        <w:numPr>
          <w:ilvl w:val="0"/>
          <w:numId w:val="1"/>
        </w:numPr>
        <w:spacing w:after="80" w:line="276"/>
      </w:pPr>
      <w:r>
        <w:rPr>
          <w:rFonts w:ascii="Calibri" w:hAnsi="Calibri"/>
          <w:color w:val="26282B"/>
          <w:sz w:val="22"/>
          <w:szCs w:val="22"/>
        </w:rPr>
        <w:t xml:space="preserve">Workflow: identify eligible practitioners → send invitations → practitioners apply/accept → facility reviews candidates → facility confirms → practitioner receives final confirmation</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match_results, shift_invitations, shift_applications, assignments, assignment_status_history</w:t>
      </w:r>
    </w:p>
    <w:p>
      <w:pPr>
        <w:pStyle w:val="Heading3"/>
        <w:keepNext/>
        <w:spacing w:after="100" w:before="220"/>
      </w:pPr>
      <w:r>
        <w:rPr>
          <w:rFonts w:ascii="Calibri" w:hAnsi="Calibri"/>
          <w:b/>
          <w:bCs/>
          <w:color w:val="0F7C6C"/>
        </w:rPr>
        <w:t xml:space="preserve">8. Scheduling and Calendar</w:t>
      </w:r>
    </w:p>
    <w:p>
      <w:pPr>
        <w:spacing w:after="160" w:line="288"/>
      </w:pPr>
      <w:r>
        <w:rPr>
          <w:rFonts w:ascii="Calibri" w:hAnsi="Calibri"/>
          <w:color w:val="26282B"/>
          <w:sz w:val="22"/>
          <w:szCs w:val="22"/>
        </w:rPr>
        <w:t xml:space="preserve">Gives both sides a reliable, conflict-free schedule.</w:t>
      </w:r>
    </w:p>
    <w:p>
      <w:pPr>
        <w:pStyle w:val="ListParagraph"/>
        <w:numPr>
          <w:ilvl w:val="0"/>
          <w:numId w:val="1"/>
        </w:numPr>
        <w:spacing w:after="80" w:line="276"/>
      </w:pPr>
      <w:r>
        <w:rPr>
          <w:rFonts w:ascii="Calibri" w:hAnsi="Calibri"/>
          <w:color w:val="26282B"/>
          <w:sz w:val="22"/>
          <w:szCs w:val="22"/>
        </w:rPr>
        <w:t xml:space="preserve">Practitioner and facility calendars with recurring shifts</w:t>
      </w:r>
    </w:p>
    <w:p>
      <w:pPr>
        <w:pStyle w:val="ListParagraph"/>
        <w:numPr>
          <w:ilvl w:val="0"/>
          <w:numId w:val="1"/>
        </w:numPr>
        <w:spacing w:after="80" w:line="276"/>
      </w:pPr>
      <w:r>
        <w:rPr>
          <w:rFonts w:ascii="Calibri" w:hAnsi="Calibri"/>
          <w:color w:val="26282B"/>
          <w:sz w:val="22"/>
          <w:szCs w:val="22"/>
        </w:rPr>
        <w:t xml:space="preserve">Conflict detection, rescheduling, and replacement requests</w:t>
      </w:r>
    </w:p>
    <w:p>
      <w:pPr>
        <w:pStyle w:val="ListParagraph"/>
        <w:numPr>
          <w:ilvl w:val="0"/>
          <w:numId w:val="1"/>
        </w:numPr>
        <w:spacing w:after="80" w:line="276"/>
      </w:pPr>
      <w:r>
        <w:rPr>
          <w:rFonts w:ascii="Calibri" w:hAnsi="Calibri"/>
          <w:color w:val="26282B"/>
          <w:sz w:val="22"/>
          <w:szCs w:val="22"/>
        </w:rPr>
        <w:t xml:space="preserve">Shift reminders and calendar export</w:t>
      </w:r>
    </w:p>
    <w:p>
      <w:pPr>
        <w:pStyle w:val="ListParagraph"/>
        <w:numPr>
          <w:ilvl w:val="0"/>
          <w:numId w:val="1"/>
        </w:numPr>
        <w:spacing w:after="80" w:line="276"/>
      </w:pPr>
      <w:r>
        <w:rPr>
          <w:rFonts w:ascii="Calibri" w:hAnsi="Calibri"/>
          <w:color w:val="26282B"/>
          <w:sz w:val="22"/>
          <w:szCs w:val="22"/>
        </w:rPr>
        <w:t xml:space="preserve">Nigerian public-holiday configuration; West Africa Time as default display, UTC stored internally</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schedules, schedule_occurrences, schedule_changes, reminders</w:t>
      </w:r>
    </w:p>
    <w:p>
      <w:pPr>
        <w:pStyle w:val="Heading3"/>
        <w:keepNext/>
        <w:spacing w:after="100" w:before="220"/>
      </w:pPr>
      <w:r>
        <w:rPr>
          <w:rFonts w:ascii="Calibri" w:hAnsi="Calibri"/>
          <w:b/>
          <w:bCs/>
          <w:color w:val="0F7C6C"/>
        </w:rPr>
        <w:t xml:space="preserve">9. Attendance and Timesheet Management</w:t>
      </w:r>
    </w:p>
    <w:p>
      <w:pPr>
        <w:spacing w:after="160" w:line="288"/>
      </w:pPr>
      <w:r>
        <w:rPr>
          <w:rFonts w:ascii="Calibri" w:hAnsi="Calibri"/>
          <w:color w:val="26282B"/>
          <w:sz w:val="22"/>
          <w:szCs w:val="22"/>
        </w:rPr>
        <w:t xml:space="preserve">Captures what actually happened during a shift.</w:t>
      </w:r>
    </w:p>
    <w:p>
      <w:pPr>
        <w:pStyle w:val="ListParagraph"/>
        <w:numPr>
          <w:ilvl w:val="0"/>
          <w:numId w:val="1"/>
        </w:numPr>
        <w:spacing w:after="80" w:line="276"/>
      </w:pPr>
      <w:r>
        <w:rPr>
          <w:rFonts w:ascii="Calibri" w:hAnsi="Calibri"/>
          <w:color w:val="26282B"/>
          <w:sz w:val="22"/>
          <w:szCs w:val="22"/>
        </w:rPr>
        <w:t xml:space="preserve">Check-in/check-out with supervisor OTP or QR confirmation</w:t>
      </w:r>
    </w:p>
    <w:p>
      <w:pPr>
        <w:pStyle w:val="ListParagraph"/>
        <w:numPr>
          <w:ilvl w:val="0"/>
          <w:numId w:val="1"/>
        </w:numPr>
        <w:spacing w:after="80" w:line="276"/>
      </w:pPr>
      <w:r>
        <w:rPr>
          <w:rFonts w:ascii="Calibri" w:hAnsi="Calibri"/>
          <w:color w:val="26282B"/>
          <w:sz w:val="22"/>
          <w:szCs w:val="22"/>
        </w:rPr>
        <w:t xml:space="preserve">Optional location validation — GPS is a signal, never the sole method, given variable network/location reliability</w:t>
      </w:r>
    </w:p>
    <w:p>
      <w:pPr>
        <w:pStyle w:val="ListParagraph"/>
        <w:numPr>
          <w:ilvl w:val="0"/>
          <w:numId w:val="1"/>
        </w:numPr>
        <w:spacing w:after="80" w:line="276"/>
      </w:pPr>
      <w:r>
        <w:rPr>
          <w:rFonts w:ascii="Calibri" w:hAnsi="Calibri"/>
          <w:color w:val="26282B"/>
          <w:sz w:val="22"/>
          <w:szCs w:val="22"/>
        </w:rPr>
        <w:t xml:space="preserve">Manual attendance fallback, breaks, overtime, and on-call hours</w:t>
      </w:r>
    </w:p>
    <w:p>
      <w:pPr>
        <w:pStyle w:val="ListParagraph"/>
        <w:numPr>
          <w:ilvl w:val="0"/>
          <w:numId w:val="1"/>
        </w:numPr>
        <w:spacing w:after="80" w:line="276"/>
      </w:pPr>
      <w:r>
        <w:rPr>
          <w:rFonts w:ascii="Calibri" w:hAnsi="Calibri"/>
          <w:color w:val="26282B"/>
          <w:sz w:val="22"/>
          <w:szCs w:val="22"/>
        </w:rPr>
        <w:t xml:space="preserve">Practitioner submission, facility approval or rejection with reason, amendment history, and dispute initiation</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attendance_records, checkin_events, timesheets, timesheet_entries, timesheet_approvals, timesheet_revisions</w:t>
      </w:r>
    </w:p>
    <w:p>
      <w:pPr>
        <w:pStyle w:val="Heading3"/>
        <w:keepNext/>
        <w:spacing w:after="100" w:before="220"/>
      </w:pPr>
      <w:r>
        <w:rPr>
          <w:rFonts w:ascii="Calibri" w:hAnsi="Calibri"/>
          <w:b/>
          <w:bCs/>
          <w:color w:val="0F7C6C"/>
        </w:rPr>
        <w:t xml:space="preserve">10. Rates, Contracts and Engagement Terms</w:t>
      </w:r>
    </w:p>
    <w:p>
      <w:pPr>
        <w:spacing w:after="160" w:line="288"/>
      </w:pPr>
      <w:r>
        <w:rPr>
          <w:rFonts w:ascii="Calibri" w:hAnsi="Calibri"/>
          <w:color w:val="26282B"/>
          <w:sz w:val="22"/>
          <w:szCs w:val="22"/>
        </w:rPr>
        <w:t xml:space="preserve">Ensures both sides agree on commercial terms before a shift is accepted.</w:t>
      </w:r>
    </w:p>
    <w:p>
      <w:pPr>
        <w:pStyle w:val="ListParagraph"/>
        <w:numPr>
          <w:ilvl w:val="0"/>
          <w:numId w:val="1"/>
        </w:numPr>
        <w:spacing w:after="80" w:line="276"/>
      </w:pPr>
      <w:r>
        <w:rPr>
          <w:rFonts w:ascii="Calibri" w:hAnsi="Calibri"/>
          <w:color w:val="26282B"/>
          <w:sz w:val="22"/>
          <w:szCs w:val="22"/>
        </w:rPr>
        <w:t xml:space="preserve">Hourly, daily, or fixed-shift rates; overtime, night, and weekend allowances</w:t>
      </w:r>
    </w:p>
    <w:p>
      <w:pPr>
        <w:pStyle w:val="ListParagraph"/>
        <w:numPr>
          <w:ilvl w:val="0"/>
          <w:numId w:val="1"/>
        </w:numPr>
        <w:spacing w:after="80" w:line="276"/>
      </w:pPr>
      <w:r>
        <w:rPr>
          <w:rFonts w:ascii="Calibri" w:hAnsi="Calibri"/>
          <w:color w:val="26282B"/>
          <w:sz w:val="22"/>
          <w:szCs w:val="22"/>
        </w:rPr>
        <w:t xml:space="preserve">Transport/accommodation allowances and cancellation penalties</w:t>
      </w:r>
    </w:p>
    <w:p>
      <w:pPr>
        <w:pStyle w:val="ListParagraph"/>
        <w:numPr>
          <w:ilvl w:val="0"/>
          <w:numId w:val="1"/>
        </w:numPr>
        <w:spacing w:after="80" w:line="276"/>
      </w:pPr>
      <w:r>
        <w:rPr>
          <w:rFonts w:ascii="Calibri" w:hAnsi="Calibri"/>
          <w:color w:val="26282B"/>
          <w:sz w:val="22"/>
          <w:szCs w:val="22"/>
        </w:rPr>
        <w:t xml:space="preserve">Tax and withholding configuration</w:t>
      </w:r>
    </w:p>
    <w:p>
      <w:pPr>
        <w:pStyle w:val="ListParagraph"/>
        <w:numPr>
          <w:ilvl w:val="0"/>
          <w:numId w:val="1"/>
        </w:numPr>
        <w:spacing w:after="80" w:line="276"/>
      </w:pPr>
      <w:r>
        <w:rPr>
          <w:rFonts w:ascii="Calibri" w:hAnsi="Calibri"/>
          <w:color w:val="26282B"/>
          <w:sz w:val="22"/>
          <w:szCs w:val="22"/>
        </w:rPr>
        <w:t xml:space="preserve">Digital engagement agreement with versioned terms and recorded acceptance</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rate_cards, engagement_terms, contracts, contract_versions, contract_acceptances</w:t>
      </w:r>
    </w:p>
    <w:p>
      <w:pPr>
        <w:pStyle w:val="Heading3"/>
        <w:keepNext/>
        <w:spacing w:after="100" w:before="220"/>
      </w:pPr>
      <w:r>
        <w:rPr>
          <w:rFonts w:ascii="Calibri" w:hAnsi="Calibri"/>
          <w:b/>
          <w:bCs/>
          <w:color w:val="0F7C6C"/>
        </w:rPr>
        <w:t xml:space="preserve">11. Billing, Payments and Settlement Ledger</w:t>
      </w:r>
    </w:p>
    <w:p>
      <w:pPr>
        <w:spacing w:after="160" w:line="288"/>
      </w:pPr>
      <w:r>
        <w:rPr>
          <w:rFonts w:ascii="Calibri" w:hAnsi="Calibri"/>
          <w:color w:val="26282B"/>
          <w:sz w:val="22"/>
          <w:szCs w:val="22"/>
        </w:rPr>
        <w:t xml:space="preserve">Manages the financial lifecycle without Medilink operating as an unlicensed financial institution.</w:t>
      </w:r>
    </w:p>
    <w:p>
      <w:pPr>
        <w:pStyle w:val="ListParagraph"/>
        <w:numPr>
          <w:ilvl w:val="0"/>
          <w:numId w:val="1"/>
        </w:numPr>
        <w:spacing w:after="80" w:line="276"/>
      </w:pPr>
      <w:r>
        <w:rPr>
          <w:rFonts w:ascii="Calibri" w:hAnsi="Calibri"/>
          <w:color w:val="26282B"/>
          <w:sz w:val="22"/>
          <w:szCs w:val="22"/>
        </w:rPr>
        <w:t xml:space="preserve">Facility funding/authorisation and invoice generation</w:t>
      </w:r>
    </w:p>
    <w:p>
      <w:pPr>
        <w:pStyle w:val="ListParagraph"/>
        <w:numPr>
          <w:ilvl w:val="0"/>
          <w:numId w:val="1"/>
        </w:numPr>
        <w:spacing w:after="80" w:line="276"/>
      </w:pPr>
      <w:r>
        <w:rPr>
          <w:rFonts w:ascii="Calibri" w:hAnsi="Calibri"/>
          <w:color w:val="26282B"/>
          <w:sz w:val="22"/>
          <w:szCs w:val="22"/>
        </w:rPr>
        <w:t xml:space="preserve">Practitioner earnings calculation, platform fees, and tax/withholding entries</w:t>
      </w:r>
    </w:p>
    <w:p>
      <w:pPr>
        <w:pStyle w:val="ListParagraph"/>
        <w:numPr>
          <w:ilvl w:val="0"/>
          <w:numId w:val="1"/>
        </w:numPr>
        <w:spacing w:after="80" w:line="276"/>
      </w:pPr>
      <w:r>
        <w:rPr>
          <w:rFonts w:ascii="Calibri" w:hAnsi="Calibri"/>
          <w:color w:val="26282B"/>
          <w:sz w:val="22"/>
          <w:szCs w:val="22"/>
        </w:rPr>
        <w:t xml:space="preserve">Integration with a licensed Nigerian payment provider; bank-account verification</w:t>
      </w:r>
    </w:p>
    <w:p>
      <w:pPr>
        <w:pStyle w:val="ListParagraph"/>
        <w:numPr>
          <w:ilvl w:val="0"/>
          <w:numId w:val="1"/>
        </w:numPr>
        <w:spacing w:after="80" w:line="276"/>
      </w:pPr>
      <w:r>
        <w:rPr>
          <w:rFonts w:ascii="Calibri" w:hAnsi="Calibri"/>
          <w:color w:val="26282B"/>
          <w:sz w:val="22"/>
          <w:szCs w:val="22"/>
        </w:rPr>
        <w:t xml:space="preserve">Practitioner payout, refunds/reversals, reconciliation, and downloadable statements</w:t>
      </w:r>
    </w:p>
    <w:p>
      <w:pPr>
        <w:pStyle w:val="ListParagraph"/>
        <w:numPr>
          <w:ilvl w:val="0"/>
          <w:numId w:val="1"/>
        </w:numPr>
        <w:spacing w:after="80" w:line="276"/>
      </w:pPr>
      <w:r>
        <w:rPr>
          <w:rFonts w:ascii="Calibri" w:hAnsi="Calibri"/>
          <w:color w:val="26282B"/>
          <w:sz w:val="22"/>
          <w:szCs w:val="22"/>
        </w:rPr>
        <w:t xml:space="preserve">Ledger-based model — see Section 8.4 — never a self-operated stored-value wallet</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billing_accounts, invoices, invoice_items, ledger_accounts, ledger_entries, payment_transactions, payouts, refunds, reconciliations</w:t>
      </w:r>
    </w:p>
    <w:p>
      <w:pPr>
        <w:pStyle w:val="Heading3"/>
        <w:keepNext/>
        <w:spacing w:after="100" w:before="220"/>
      </w:pPr>
      <w:r>
        <w:rPr>
          <w:rFonts w:ascii="Calibri" w:hAnsi="Calibri"/>
          <w:b/>
          <w:bCs/>
          <w:color w:val="0F7C6C"/>
        </w:rPr>
        <w:t xml:space="preserve">12. Cancellation, No-Show and Replacement</w:t>
      </w:r>
    </w:p>
    <w:p>
      <w:pPr>
        <w:spacing w:after="160" w:line="288"/>
      </w:pPr>
      <w:r>
        <w:rPr>
          <w:rFonts w:ascii="Calibri" w:hAnsi="Calibri"/>
          <w:color w:val="26282B"/>
          <w:sz w:val="22"/>
          <w:szCs w:val="22"/>
        </w:rPr>
        <w:t xml:space="preserve">Protects both sides when assignments change.</w:t>
      </w:r>
    </w:p>
    <w:p>
      <w:pPr>
        <w:pStyle w:val="ListParagraph"/>
        <w:numPr>
          <w:ilvl w:val="0"/>
          <w:numId w:val="1"/>
        </w:numPr>
        <w:spacing w:after="80" w:line="276"/>
      </w:pPr>
      <w:r>
        <w:rPr>
          <w:rFonts w:ascii="Calibri" w:hAnsi="Calibri"/>
          <w:color w:val="26282B"/>
          <w:sz w:val="22"/>
          <w:szCs w:val="22"/>
        </w:rPr>
        <w:t xml:space="preserve">Practitioner- and facility-initiated cancellation with reason capture</w:t>
      </w:r>
    </w:p>
    <w:p>
      <w:pPr>
        <w:pStyle w:val="ListParagraph"/>
        <w:numPr>
          <w:ilvl w:val="0"/>
          <w:numId w:val="1"/>
        </w:numPr>
        <w:spacing w:after="80" w:line="276"/>
      </w:pPr>
      <w:r>
        <w:rPr>
          <w:rFonts w:ascii="Calibri" w:hAnsi="Calibri"/>
          <w:color w:val="26282B"/>
          <w:sz w:val="22"/>
          <w:szCs w:val="22"/>
        </w:rPr>
        <w:t xml:space="preserve">Configurable penalty rules and emergency replacement search</w:t>
      </w:r>
    </w:p>
    <w:p>
      <w:pPr>
        <w:pStyle w:val="ListParagraph"/>
        <w:numPr>
          <w:ilvl w:val="0"/>
          <w:numId w:val="1"/>
        </w:numPr>
        <w:spacing w:after="80" w:line="276"/>
      </w:pPr>
      <w:r>
        <w:rPr>
          <w:rFonts w:ascii="Calibri" w:hAnsi="Calibri"/>
          <w:color w:val="26282B"/>
          <w:sz w:val="22"/>
          <w:szCs w:val="22"/>
        </w:rPr>
        <w:t xml:space="preserve">No-show reporting with evidence submission and reliability impact</w:t>
      </w:r>
    </w:p>
    <w:p>
      <w:pPr>
        <w:pStyle w:val="ListParagraph"/>
        <w:numPr>
          <w:ilvl w:val="0"/>
          <w:numId w:val="1"/>
        </w:numPr>
        <w:spacing w:after="80" w:line="276"/>
      </w:pPr>
      <w:r>
        <w:rPr>
          <w:rFonts w:ascii="Calibri" w:hAnsi="Calibri"/>
          <w:color w:val="26282B"/>
          <w:sz w:val="22"/>
          <w:szCs w:val="22"/>
        </w:rPr>
        <w:t xml:space="preserve">Administrator override authority</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cancellations, replacement_requests, no_show_reports, penalty_rules, penalties</w:t>
      </w:r>
    </w:p>
    <w:p>
      <w:pPr>
        <w:pStyle w:val="Heading3"/>
        <w:keepNext/>
        <w:spacing w:after="100" w:before="220"/>
      </w:pPr>
      <w:r>
        <w:rPr>
          <w:rFonts w:ascii="Calibri" w:hAnsi="Calibri"/>
          <w:b/>
          <w:bCs/>
          <w:color w:val="0F7C6C"/>
        </w:rPr>
        <w:t xml:space="preserve">13. Dispute and Case Management</w:t>
      </w:r>
    </w:p>
    <w:p>
      <w:pPr>
        <w:spacing w:after="160" w:line="288"/>
      </w:pPr>
      <w:r>
        <w:rPr>
          <w:rFonts w:ascii="Calibri" w:hAnsi="Calibri"/>
          <w:color w:val="26282B"/>
          <w:sz w:val="22"/>
          <w:szCs w:val="22"/>
        </w:rPr>
        <w:t xml:space="preserve">Handles disagreements through a defined process rather than ad hoc escalation.</w:t>
      </w:r>
    </w:p>
    <w:p>
      <w:pPr>
        <w:pStyle w:val="ListParagraph"/>
        <w:numPr>
          <w:ilvl w:val="0"/>
          <w:numId w:val="1"/>
        </w:numPr>
        <w:spacing w:after="80" w:line="276"/>
      </w:pPr>
      <w:r>
        <w:rPr>
          <w:rFonts w:ascii="Calibri" w:hAnsi="Calibri"/>
          <w:color w:val="26282B"/>
          <w:sz w:val="22"/>
          <w:szCs w:val="22"/>
        </w:rPr>
        <w:t xml:space="preserve">Covers incorrect timesheets, unpaid work, incorrect rates, unapproved overtime</w:t>
      </w:r>
    </w:p>
    <w:p>
      <w:pPr>
        <w:pStyle w:val="ListParagraph"/>
        <w:numPr>
          <w:ilvl w:val="0"/>
          <w:numId w:val="1"/>
        </w:numPr>
        <w:spacing w:after="80" w:line="276"/>
      </w:pPr>
      <w:r>
        <w:rPr>
          <w:rFonts w:ascii="Calibri" w:hAnsi="Calibri"/>
          <w:color w:val="26282B"/>
          <w:sz w:val="22"/>
          <w:szCs w:val="22"/>
        </w:rPr>
        <w:t xml:space="preserve">Also covers no-shows, facility cancellations, professional misconduct, unsafe conditions, and payment reversals</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cases, case_messages, case_evidence, case_assignments, case_decisions, case_status_history</w:t>
      </w:r>
    </w:p>
    <w:p>
      <w:pPr>
        <w:pStyle w:val="Heading3"/>
        <w:keepNext/>
        <w:spacing w:after="100" w:before="220"/>
      </w:pPr>
      <w:r>
        <w:rPr>
          <w:rFonts w:ascii="Calibri" w:hAnsi="Calibri"/>
          <w:b/>
          <w:bCs/>
          <w:color w:val="0F7C6C"/>
        </w:rPr>
        <w:t xml:space="preserve">14. Notifications and Communication</w:t>
      </w:r>
    </w:p>
    <w:p>
      <w:pPr>
        <w:spacing w:after="160" w:line="288"/>
      </w:pPr>
      <w:r>
        <w:rPr>
          <w:rFonts w:ascii="Calibri" w:hAnsi="Calibri"/>
          <w:color w:val="26282B"/>
          <w:sz w:val="22"/>
          <w:szCs w:val="22"/>
        </w:rPr>
        <w:t xml:space="preserve">Keeps both sides informed across the channels most likely to reach them.</w:t>
      </w:r>
    </w:p>
    <w:p>
      <w:pPr>
        <w:pStyle w:val="ListParagraph"/>
        <w:numPr>
          <w:ilvl w:val="0"/>
          <w:numId w:val="1"/>
        </w:numPr>
        <w:spacing w:after="80" w:line="276"/>
      </w:pPr>
      <w:r>
        <w:rPr>
          <w:rFonts w:ascii="Calibri" w:hAnsi="Calibri"/>
          <w:color w:val="26282B"/>
          <w:sz w:val="22"/>
          <w:szCs w:val="22"/>
        </w:rPr>
        <w:t xml:space="preserve">In-app, email, SMS, push, and WhatsApp (via an approved provider) notifications</w:t>
      </w:r>
    </w:p>
    <w:p>
      <w:pPr>
        <w:pStyle w:val="ListParagraph"/>
        <w:numPr>
          <w:ilvl w:val="0"/>
          <w:numId w:val="1"/>
        </w:numPr>
        <w:spacing w:after="80" w:line="276"/>
      </w:pPr>
      <w:r>
        <w:rPr>
          <w:rFonts w:ascii="Calibri" w:hAnsi="Calibri"/>
          <w:color w:val="26282B"/>
          <w:sz w:val="22"/>
          <w:szCs w:val="22"/>
        </w:rPr>
        <w:t xml:space="preserve">Covers shift invitations, confirmations, reminders, cancellations, timesheet approvals, payments, disputes, and licence expiry</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notifications, notification_templates, notification_preferences, notification_deliveries</w:t>
      </w:r>
    </w:p>
    <w:p>
      <w:pPr>
        <w:pStyle w:val="Heading3"/>
        <w:keepNext/>
        <w:spacing w:after="100" w:before="220"/>
      </w:pPr>
      <w:r>
        <w:rPr>
          <w:rFonts w:ascii="Calibri" w:hAnsi="Calibri"/>
          <w:b/>
          <w:bCs/>
          <w:color w:val="0F7C6C"/>
        </w:rPr>
        <w:t xml:space="preserve">15. Administration and Operations</w:t>
      </w:r>
    </w:p>
    <w:p>
      <w:pPr>
        <w:spacing w:after="160" w:line="288"/>
      </w:pPr>
      <w:r>
        <w:rPr>
          <w:rFonts w:ascii="Calibri" w:hAnsi="Calibri"/>
          <w:color w:val="26282B"/>
          <w:sz w:val="22"/>
          <w:szCs w:val="22"/>
        </w:rPr>
        <w:t xml:space="preserve">Gives Medilink staff day-to-day operational control.</w:t>
      </w:r>
    </w:p>
    <w:p>
      <w:pPr>
        <w:pStyle w:val="ListParagraph"/>
        <w:numPr>
          <w:ilvl w:val="0"/>
          <w:numId w:val="1"/>
        </w:numPr>
        <w:spacing w:after="80" w:line="276"/>
      </w:pPr>
      <w:r>
        <w:rPr>
          <w:rFonts w:ascii="Calibri" w:hAnsi="Calibri"/>
          <w:color w:val="26282B"/>
          <w:sz w:val="22"/>
          <w:szCs w:val="22"/>
        </w:rPr>
        <w:t xml:space="preserve">User and facility approval, credential review, and request/payment monitoring</w:t>
      </w:r>
    </w:p>
    <w:p>
      <w:pPr>
        <w:pStyle w:val="ListParagraph"/>
        <w:numPr>
          <w:ilvl w:val="0"/>
          <w:numId w:val="1"/>
        </w:numPr>
        <w:spacing w:after="80" w:line="276"/>
      </w:pPr>
      <w:r>
        <w:rPr>
          <w:rFonts w:ascii="Calibri" w:hAnsi="Calibri"/>
          <w:color w:val="26282B"/>
          <w:sz w:val="22"/>
          <w:szCs w:val="22"/>
        </w:rPr>
        <w:t xml:space="preserve">Dispute management, account suspension, and risk flags</w:t>
      </w:r>
    </w:p>
    <w:p>
      <w:pPr>
        <w:pStyle w:val="ListParagraph"/>
        <w:numPr>
          <w:ilvl w:val="0"/>
          <w:numId w:val="1"/>
        </w:numPr>
        <w:spacing w:after="80" w:line="276"/>
      </w:pPr>
      <w:r>
        <w:rPr>
          <w:rFonts w:ascii="Calibri" w:hAnsi="Calibri"/>
          <w:color w:val="26282B"/>
          <w:sz w:val="22"/>
          <w:szCs w:val="22"/>
        </w:rPr>
        <w:t xml:space="preserve">Configuration management and manual corrections — always with a recorded reason</w:t>
      </w:r>
    </w:p>
    <w:p>
      <w:pPr>
        <w:pStyle w:val="ListParagraph"/>
        <w:numPr>
          <w:ilvl w:val="0"/>
          <w:numId w:val="1"/>
        </w:numPr>
        <w:spacing w:after="80" w:line="276"/>
      </w:pPr>
      <w:r>
        <w:rPr>
          <w:rFonts w:ascii="Calibri" w:hAnsi="Calibri"/>
          <w:color w:val="26282B"/>
          <w:sz w:val="22"/>
          <w:szCs w:val="22"/>
        </w:rPr>
        <w:t xml:space="preserve">Operational dashboards and exportable reports; every action produces an audit record</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Shares tables with Modules 3, 4, 13, and 16</w:t>
      </w:r>
    </w:p>
    <w:p>
      <w:pPr>
        <w:pStyle w:val="Heading3"/>
        <w:keepNext/>
        <w:spacing w:after="100" w:before="220"/>
      </w:pPr>
      <w:r>
        <w:rPr>
          <w:rFonts w:ascii="Calibri" w:hAnsi="Calibri"/>
          <w:b/>
          <w:bCs/>
          <w:color w:val="0F7C6C"/>
        </w:rPr>
        <w:t xml:space="preserve">16. Security, Privacy and Audit</w:t>
      </w:r>
    </w:p>
    <w:p>
      <w:pPr>
        <w:spacing w:after="160" w:line="288"/>
      </w:pPr>
      <w:r>
        <w:rPr>
          <w:rFonts w:ascii="Calibri" w:hAnsi="Calibri"/>
          <w:color w:val="26282B"/>
          <w:sz w:val="22"/>
          <w:szCs w:val="22"/>
        </w:rPr>
        <w:t xml:space="preserve">The compliance backbone required for Nigerian data-protection law.</w:t>
      </w:r>
    </w:p>
    <w:p>
      <w:pPr>
        <w:pStyle w:val="ListParagraph"/>
        <w:numPr>
          <w:ilvl w:val="0"/>
          <w:numId w:val="1"/>
        </w:numPr>
        <w:spacing w:after="80" w:line="276"/>
      </w:pPr>
      <w:r>
        <w:rPr>
          <w:rFonts w:ascii="Calibri" w:hAnsi="Calibri"/>
          <w:color w:val="26282B"/>
          <w:sz w:val="22"/>
          <w:szCs w:val="22"/>
        </w:rPr>
        <w:t xml:space="preserve">Role-based data access, encryption in transit and at rest, secure document access</w:t>
      </w:r>
    </w:p>
    <w:p>
      <w:pPr>
        <w:pStyle w:val="ListParagraph"/>
        <w:numPr>
          <w:ilvl w:val="0"/>
          <w:numId w:val="1"/>
        </w:numPr>
        <w:spacing w:after="80" w:line="276"/>
      </w:pPr>
      <w:r>
        <w:rPr>
          <w:rFonts w:ascii="Calibri" w:hAnsi="Calibri"/>
          <w:color w:val="26282B"/>
          <w:sz w:val="22"/>
          <w:szCs w:val="22"/>
        </w:rPr>
        <w:t xml:space="preserve">Consent records and privacy-policy acceptance</w:t>
      </w:r>
    </w:p>
    <w:p>
      <w:pPr>
        <w:pStyle w:val="ListParagraph"/>
        <w:numPr>
          <w:ilvl w:val="0"/>
          <w:numId w:val="1"/>
        </w:numPr>
        <w:spacing w:after="80" w:line="276"/>
      </w:pPr>
      <w:r>
        <w:rPr>
          <w:rFonts w:ascii="Calibri" w:hAnsi="Calibri"/>
          <w:color w:val="26282B"/>
          <w:sz w:val="22"/>
          <w:szCs w:val="22"/>
        </w:rPr>
        <w:t xml:space="preserve">Audit logs, data-retention rules, account-data export, and correction/deletion requests</w:t>
      </w:r>
    </w:p>
    <w:p>
      <w:pPr>
        <w:pStyle w:val="ListParagraph"/>
        <w:numPr>
          <w:ilvl w:val="0"/>
          <w:numId w:val="1"/>
        </w:numPr>
        <w:spacing w:after="80" w:line="276"/>
      </w:pPr>
      <w:r>
        <w:rPr>
          <w:rFonts w:ascii="Calibri" w:hAnsi="Calibri"/>
          <w:color w:val="26282B"/>
          <w:sz w:val="22"/>
          <w:szCs w:val="22"/>
        </w:rPr>
        <w:t xml:space="preserve">Security-event monitoring, data-breach workflow, and backup/disaster recovery</w:t>
      </w:r>
    </w:p>
    <w:p>
      <w:pPr>
        <w:spacing w:after="160" w:line="288"/>
      </w:pPr>
      <w:r>
        <w:rPr>
          <w:rFonts w:ascii="Calibri" w:hAnsi="Calibri"/>
          <w:b/>
          <w:bCs/>
          <w:i/>
          <w:iCs/>
          <w:color w:val="5B6472"/>
          <w:sz w:val="19"/>
          <w:szCs w:val="19"/>
        </w:rPr>
        <w:t xml:space="preserve">Data: </w:t>
      </w:r>
      <w:r>
        <w:rPr>
          <w:rFonts w:ascii="Calibri" w:hAnsi="Calibri"/>
          <w:i/>
          <w:iCs/>
          <w:color w:val="5B6472"/>
          <w:sz w:val="19"/>
          <w:szCs w:val="19"/>
        </w:rPr>
        <w:t xml:space="preserve">PostgreSQL: audit_logs, consent_records, privacy_requests, security_events, data_retention_rules, breach_incidents</w:t>
      </w:r>
    </w:p>
    <w:p>
      <w:r>
        <w:rPr>
          <w:rFonts w:ascii="Calibri" w:hAnsi="Calibri"/>
        </w:rPr>
        <w:br w:type="page"/>
      </w:r>
    </w:p>
    <w:p>
      <w:pPr>
        <w:pStyle w:val="Heading2"/>
        <w:keepNext/>
      </w:pPr>
      <w:r>
        <w:rPr>
          <w:rFonts w:ascii="Calibri" w:hAnsi="Calibri"/>
        </w:rPr>
        <w:t>9.1.1 Mandatory P0 Cross-Cutting Requirements</w:t>
      </w:r>
    </w:p>
    <w:p>
      <w:r>
        <w:rPr>
          <w:rFonts w:ascii="Calibri" w:hAnsi="Calibri"/>
        </w:rPr>
        <w:t>The following capabilities are baseline release requirements even where richer versions appear in later modules:</w:t>
      </w:r>
    </w:p>
    <w:p>
      <w:pPr>
        <w:pStyle w:val="ListBullet"/>
        <w:numPr>
          <w:ilvl w:val="0"/>
          <w:numId w:val="1"/>
        </w:numPr>
      </w:pPr>
      <w:r>
        <w:rPr>
          <w:rFonts w:ascii="Calibri" w:hAnsi="Calibri"/>
        </w:rPr>
        <w:t>Low-bandwidth responsive flows, resumable forms, compressed uploads and SMS fallback for critical notifications.</w:t>
      </w:r>
    </w:p>
    <w:p>
      <w:pPr>
        <w:pStyle w:val="ListBullet"/>
        <w:numPr>
          <w:ilvl w:val="0"/>
          <w:numId w:val="1"/>
        </w:numPr>
      </w:pPr>
      <w:r>
        <w:rPr>
          <w:rFonts w:ascii="Calibri" w:hAnsi="Calibri"/>
        </w:rPr>
        <w:t>Document-integrity and duplicate-identity checks sufficient to stop obvious credential fraud before assignment.</w:t>
      </w:r>
    </w:p>
    <w:p>
      <w:pPr>
        <w:pStyle w:val="ListBullet"/>
        <w:numPr>
          <w:ilvl w:val="0"/>
          <w:numId w:val="1"/>
        </w:numPr>
      </w:pPr>
      <w:r>
        <w:rPr>
          <w:rFonts w:ascii="Calibri" w:hAnsi="Calibri"/>
        </w:rPr>
        <w:t>Clinical-safety incident reporting and immediate escalation for unsafe conditions or alleged misconduct.</w:t>
      </w:r>
    </w:p>
    <w:p>
      <w:pPr>
        <w:pStyle w:val="ListBullet"/>
        <w:numPr>
          <w:ilvl w:val="0"/>
          <w:numId w:val="1"/>
        </w:numPr>
      </w:pPr>
      <w:r>
        <w:rPr>
          <w:rFonts w:ascii="Calibri" w:hAnsi="Calibri"/>
        </w:rPr>
        <w:t>Working-hour and fatigue rules applied during matching and before final assignment.</w:t>
      </w:r>
    </w:p>
    <w:p>
      <w:pPr>
        <w:pStyle w:val="ListBullet"/>
        <w:numPr>
          <w:ilvl w:val="0"/>
          <w:numId w:val="1"/>
        </w:numPr>
      </w:pPr>
      <w:r>
        <w:rPr>
          <w:rFonts w:ascii="Calibri" w:hAnsi="Calibri"/>
        </w:rPr>
        <w:t>Daily payment reconciliation, exception queues and finance sign-off before payout batches are closed.</w:t>
      </w:r>
    </w:p>
    <w:p>
      <w:pPr>
        <w:pStyle w:val="ListBullet"/>
        <w:numPr>
          <w:ilvl w:val="0"/>
          <w:numId w:val="1"/>
        </w:numPr>
      </w:pPr>
      <w:r>
        <w:rPr>
          <w:rFonts w:ascii="Calibri" w:hAnsi="Calibri"/>
        </w:rPr>
        <w:t>Operational support escalation for active shifts, failed check-in and failed payout events.</w:t>
      </w:r>
    </w:p>
    <w:p>
      <w:pPr>
        <w:pStyle w:val="Heading2"/>
        <w:keepNext/>
        <w:spacing w:after="140" w:before="300"/>
      </w:pPr>
      <w:r>
        <w:rPr>
          <w:rFonts w:ascii="Calibri" w:hAnsi="Calibri"/>
          <w:b/>
          <w:bCs/>
          <w:color w:val="1B2A4A"/>
        </w:rPr>
        <w:t xml:space="preserve">9.2 Priority 1 — Medium-Priority Modules</w:t>
      </w:r>
    </w:p>
    <w:p>
      <w:pPr>
        <w:spacing w:after="160" w:line="288"/>
      </w:pPr>
      <w:r>
        <w:rPr>
          <w:rFonts w:ascii="Calibri" w:hAnsi="Calibri"/>
          <w:color w:val="26282B"/>
          <w:sz w:val="22"/>
          <w:szCs w:val="22"/>
        </w:rPr>
        <w:t xml:space="preserve">Added once the complete staffing-to-payment workflow is proven stable in production.</w:t>
      </w:r>
    </w:p>
    <w:p>
      <w:pPr>
        <w:pStyle w:val="Heading3"/>
        <w:keepNext/>
        <w:spacing w:after="100" w:before="220"/>
      </w:pPr>
      <w:r>
        <w:rPr>
          <w:rFonts w:ascii="Calibri" w:hAnsi="Calibri"/>
          <w:b/>
          <w:bCs/>
          <w:color w:val="0F7C6C"/>
        </w:rPr>
        <w:t xml:space="preserve">17. Ratings and Performance</w:t>
      </w:r>
    </w:p>
    <w:p>
      <w:pPr>
        <w:spacing w:after="160" w:line="288"/>
      </w:pPr>
      <w:r>
        <w:rPr>
          <w:rFonts w:ascii="Calibri" w:hAnsi="Calibri"/>
          <w:color w:val="26282B"/>
          <w:sz w:val="22"/>
          <w:szCs w:val="22"/>
        </w:rPr>
        <w:t xml:space="preserve">Structured facility feedback and practitioner feedback about facilities; attendance reliability, cancellation rate, and timesheet-approval performance tracked separately from public ratings, with a moderation and appeal process. Clinical competence is never inferred from a simple star rating.</w:t>
      </w:r>
    </w:p>
    <w:p>
      <w:pPr>
        <w:pStyle w:val="Heading3"/>
        <w:keepNext/>
        <w:spacing w:after="100" w:before="220"/>
      </w:pPr>
      <w:r>
        <w:rPr>
          <w:rFonts w:ascii="Calibri" w:hAnsi="Calibri"/>
          <w:b/>
          <w:bCs/>
          <w:color w:val="0F7C6C"/>
        </w:rPr>
        <w:t xml:space="preserve">18. Recurring Workforce and Rostering</w:t>
      </w:r>
    </w:p>
    <w:p>
      <w:pPr>
        <w:spacing w:after="160" w:line="288"/>
      </w:pPr>
      <w:r>
        <w:rPr>
          <w:rFonts w:ascii="Calibri" w:hAnsi="Calibri"/>
          <w:color w:val="26282B"/>
          <w:sz w:val="22"/>
          <w:szCs w:val="22"/>
        </w:rPr>
        <w:t xml:space="preserve">Weekly/monthly rosters, rotating shifts, bulk shift creation, department staffing requirements, vacancy detection, roster templates, and practitioner workload monitoring.</w:t>
      </w:r>
    </w:p>
    <w:p>
      <w:pPr>
        <w:pStyle w:val="Heading3"/>
        <w:keepNext/>
        <w:spacing w:after="100" w:before="220"/>
      </w:pPr>
      <w:r>
        <w:rPr>
          <w:rFonts w:ascii="Calibri" w:hAnsi="Calibri"/>
          <w:b/>
          <w:bCs/>
          <w:color w:val="0F7C6C"/>
        </w:rPr>
        <w:t xml:space="preserve">19. Reports and Analytics</w:t>
      </w:r>
    </w:p>
    <w:p>
      <w:pPr>
        <w:spacing w:after="160" w:line="288"/>
      </w:pPr>
      <w:r>
        <w:rPr>
          <w:rFonts w:ascii="Calibri" w:hAnsi="Calibri"/>
          <w:color w:val="26282B"/>
          <w:sz w:val="22"/>
          <w:szCs w:val="22"/>
        </w:rPr>
        <w:t xml:space="preserve">Facility reports (staffing cost, fill rate, attendance, cancellation, demand by department, utilisation); practitioner reports (earnings, hours, upcoming shifts, payment status); Medilink-level reports (revenue, reconciliation, active users, credential expiry, geographic demand, dispute resolution time).</w:t>
      </w:r>
    </w:p>
    <w:p>
      <w:pPr>
        <w:pStyle w:val="Heading3"/>
        <w:keepNext/>
        <w:spacing w:after="100" w:before="220"/>
      </w:pPr>
      <w:r>
        <w:rPr>
          <w:rFonts w:ascii="Calibri" w:hAnsi="Calibri"/>
          <w:b/>
          <w:bCs/>
          <w:color w:val="0F7C6C"/>
        </w:rPr>
        <w:t xml:space="preserve">20. Credential Renewal and CPD</w:t>
      </w:r>
    </w:p>
    <w:p>
      <w:pPr>
        <w:spacing w:after="160" w:line="288"/>
      </w:pPr>
      <w:r>
        <w:rPr>
          <w:rFonts w:ascii="Calibri" w:hAnsi="Calibri"/>
          <w:color w:val="26282B"/>
          <w:sz w:val="22"/>
          <w:szCs w:val="22"/>
        </w:rPr>
        <w:t xml:space="preserve">Licence-renewal reminders, CPD record-keeping, required-certificate tracking, approved training discovery, renewal workflow, and a compliance calendar.</w:t>
      </w:r>
    </w:p>
    <w:p>
      <w:pPr>
        <w:pStyle w:val="Heading3"/>
        <w:keepNext/>
        <w:spacing w:after="100" w:before="220"/>
      </w:pPr>
      <w:r>
        <w:rPr>
          <w:rFonts w:ascii="Calibri" w:hAnsi="Calibri"/>
          <w:b/>
          <w:bCs/>
          <w:color w:val="0F7C6C"/>
        </w:rPr>
        <w:t xml:space="preserve">21. Tax and Financial Statements</w:t>
      </w:r>
    </w:p>
    <w:p>
      <w:pPr>
        <w:spacing w:after="160" w:line="288"/>
      </w:pPr>
      <w:r>
        <w:rPr>
          <w:rFonts w:ascii="Calibri" w:hAnsi="Calibri"/>
          <w:color w:val="26282B"/>
          <w:sz w:val="22"/>
          <w:szCs w:val="22"/>
        </w:rPr>
        <w:t xml:space="preserve">Annual earnings statements, service-fee statements, withholding-tax records, downloadable receipts, facility expenditure reports, and configurable Nigerian tax rules.</w:t>
      </w:r>
    </w:p>
    <w:p>
      <w:pPr>
        <w:pStyle w:val="Heading3"/>
        <w:keepNext/>
        <w:spacing w:after="100" w:before="220"/>
      </w:pPr>
      <w:r>
        <w:rPr>
          <w:rFonts w:ascii="Calibri" w:hAnsi="Calibri"/>
          <w:b/>
          <w:bCs/>
          <w:color w:val="0F7C6C"/>
        </w:rPr>
        <w:t xml:space="preserve">22. Facility Preferred Pools</w:t>
      </w:r>
    </w:p>
    <w:p>
      <w:pPr>
        <w:spacing w:after="160" w:line="288"/>
      </w:pPr>
      <w:r>
        <w:rPr>
          <w:rFonts w:ascii="Calibri" w:hAnsi="Calibri"/>
          <w:color w:val="26282B"/>
          <w:sz w:val="22"/>
          <w:szCs w:val="22"/>
        </w:rPr>
        <w:t xml:space="preserve">Favourite and blocked practitioners, private and department-specific pools, direct shift invitations, and re-engagement history.</w:t>
      </w:r>
    </w:p>
    <w:p>
      <w:pPr>
        <w:pStyle w:val="Heading3"/>
        <w:keepNext/>
        <w:spacing w:after="100" w:before="220"/>
      </w:pPr>
      <w:r>
        <w:rPr>
          <w:rFonts w:ascii="Calibri" w:hAnsi="Calibri"/>
          <w:b/>
          <w:bCs/>
          <w:color w:val="0F7C6C"/>
        </w:rPr>
        <w:t xml:space="preserve">23. Fraud and Risk Management</w:t>
      </w:r>
    </w:p>
    <w:p>
      <w:pPr>
        <w:spacing w:after="160" w:line="288"/>
      </w:pPr>
      <w:r>
        <w:rPr>
          <w:rFonts w:ascii="Calibri" w:hAnsi="Calibri"/>
          <w:color w:val="26282B"/>
          <w:sz w:val="22"/>
          <w:szCs w:val="22"/>
        </w:rPr>
        <w:t xml:space="preserve">Detection of duplicate identities, suspicious check-ins, repeated payment failures, falsified documents, unusual cancellation patterns, and account-takeover indicators, with a manual risk-review queue.</w:t>
      </w:r>
    </w:p>
    <w:p>
      <w:pPr>
        <w:pStyle w:val="Heading3"/>
        <w:keepNext/>
        <w:spacing w:after="100" w:before="220"/>
      </w:pPr>
      <w:r>
        <w:rPr>
          <w:rFonts w:ascii="Calibri" w:hAnsi="Calibri"/>
          <w:b/>
          <w:bCs/>
          <w:color w:val="0F7C6C"/>
        </w:rPr>
        <w:t xml:space="preserve">24. Customer Support</w:t>
      </w:r>
    </w:p>
    <w:p>
      <w:pPr>
        <w:spacing w:after="160" w:line="288"/>
      </w:pPr>
      <w:r>
        <w:rPr>
          <w:rFonts w:ascii="Calibri" w:hAnsi="Calibri"/>
          <w:color w:val="26282B"/>
          <w:sz w:val="22"/>
          <w:szCs w:val="22"/>
        </w:rPr>
        <w:t xml:space="preserve">Helpdesk ticketing, knowledge base and FAQs, service-level tracking, complaint escalation, and full support communication history.</w:t>
      </w:r>
    </w:p>
    <w:p>
      <w:pPr>
        <w:pStyle w:val="Heading3"/>
        <w:keepNext/>
        <w:spacing w:after="100" w:before="220"/>
      </w:pPr>
      <w:r>
        <w:rPr>
          <w:rFonts w:ascii="Calibri" w:hAnsi="Calibri"/>
          <w:b/>
          <w:bCs/>
          <w:color w:val="0F7C6C"/>
        </w:rPr>
        <w:t xml:space="preserve">25. Low-Bandwidth and Mobile Experience</w:t>
      </w:r>
    </w:p>
    <w:p>
      <w:pPr>
        <w:spacing w:after="160" w:line="288"/>
      </w:pPr>
      <w:r>
        <w:rPr>
          <w:rFonts w:ascii="Calibri" w:hAnsi="Calibri"/>
          <w:color w:val="26282B"/>
          <w:sz w:val="22"/>
          <w:szCs w:val="22"/>
        </w:rPr>
        <w:t xml:space="preserve">Responsive, Progressive-Web-App-capable Next.js delivery; small page payloads and compressed uploads; retry logic for failed requests; draft-saving forms; SMS notifications; clear network-status feedback for low-connectivity regions.</w:t>
      </w:r>
    </w:p>
    <w:p>
      <w:pPr>
        <w:pStyle w:val="Heading2"/>
        <w:keepNext/>
        <w:spacing w:after="140" w:before="300"/>
      </w:pPr>
      <w:r>
        <w:rPr>
          <w:rFonts w:ascii="Calibri" w:hAnsi="Calibri"/>
          <w:b/>
          <w:bCs/>
          <w:color w:val="1B2A4A"/>
        </w:rPr>
        <w:t xml:space="preserve">9.3 Priority 2 — Ecosystem Modules</w:t>
      </w:r>
    </w:p>
    <w:p>
      <w:pPr>
        <w:spacing w:after="160" w:line="288"/>
      </w:pPr>
      <w:r>
        <w:rPr>
          <w:rFonts w:ascii="Calibri" w:hAnsi="Calibri"/>
          <w:color w:val="26282B"/>
          <w:sz w:val="22"/>
          <w:szCs w:val="22"/>
        </w:rPr>
        <w:t xml:space="preserve">Valuable, but deliberately sequenced after the core product so they do not delay a safe, working MVP.</w:t>
      </w:r>
    </w:p>
    <w:p>
      <w:pPr>
        <w:pStyle w:val="Heading3"/>
        <w:keepNext/>
        <w:spacing w:after="100" w:before="220"/>
      </w:pPr>
      <w:r>
        <w:rPr>
          <w:rFonts w:ascii="Calibri" w:hAnsi="Calibri"/>
          <w:b/>
          <w:bCs/>
          <w:color w:val="0F7C6C"/>
        </w:rPr>
        <w:t xml:space="preserve">26. Telemedicine Engagements</w:t>
      </w:r>
    </w:p>
    <w:p>
      <w:pPr>
        <w:spacing w:after="160" w:line="288"/>
      </w:pPr>
      <w:r>
        <w:rPr>
          <w:rFonts w:ascii="Calibri" w:hAnsi="Calibri"/>
          <w:color w:val="26282B"/>
          <w:sz w:val="22"/>
          <w:szCs w:val="22"/>
        </w:rPr>
        <w:t xml:space="preserve">Virtual shift requests, secure consultation links, availability, consent workflow, and telemedicine-specific payment and documentation boundaries.</w:t>
      </w:r>
    </w:p>
    <w:p>
      <w:pPr>
        <w:pStyle w:val="Heading3"/>
        <w:keepNext/>
        <w:spacing w:after="100" w:before="220"/>
      </w:pPr>
      <w:r>
        <w:rPr>
          <w:rFonts w:ascii="Calibri" w:hAnsi="Calibri"/>
          <w:b/>
          <w:bCs/>
          <w:color w:val="0F7C6C"/>
        </w:rPr>
        <w:t xml:space="preserve">27. Professional Community and Mentorship</w:t>
      </w:r>
    </w:p>
    <w:p>
      <w:pPr>
        <w:spacing w:after="160" w:line="288"/>
      </w:pPr>
      <w:r>
        <w:rPr>
          <w:rFonts w:ascii="Calibri" w:hAnsi="Calibri"/>
          <w:color w:val="26282B"/>
          <w:sz w:val="22"/>
          <w:szCs w:val="22"/>
        </w:rPr>
        <w:t xml:space="preserve">Verified professional groups, mentorship matching, specialty discussions, and moderated educational content.</w:t>
      </w:r>
    </w:p>
    <w:p>
      <w:pPr>
        <w:pStyle w:val="Heading3"/>
        <w:keepNext/>
        <w:spacing w:after="100" w:before="220"/>
      </w:pPr>
      <w:r>
        <w:rPr>
          <w:rFonts w:ascii="Calibri" w:hAnsi="Calibri"/>
          <w:b/>
          <w:bCs/>
          <w:color w:val="0F7C6C"/>
        </w:rPr>
        <w:t xml:space="preserve">28. Insurance and Professional Benefits</w:t>
      </w:r>
    </w:p>
    <w:p>
      <w:pPr>
        <w:spacing w:after="160" w:line="288"/>
      </w:pPr>
      <w:r>
        <w:rPr>
          <w:rFonts w:ascii="Calibri" w:hAnsi="Calibri"/>
          <w:color w:val="26282B"/>
          <w:sz w:val="22"/>
          <w:szCs w:val="22"/>
        </w:rPr>
        <w:t xml:space="preserve">Professional indemnity partnerships, health insurance options, income-protection products, and pension/savings partnerships with eligibility tracking.</w:t>
      </w:r>
    </w:p>
    <w:p>
      <w:pPr>
        <w:pStyle w:val="Heading3"/>
        <w:keepNext/>
        <w:spacing w:after="100" w:before="220"/>
      </w:pPr>
      <w:r>
        <w:rPr>
          <w:rFonts w:ascii="Calibri" w:hAnsi="Calibri"/>
          <w:b/>
          <w:bCs/>
          <w:color w:val="0F7C6C"/>
        </w:rPr>
        <w:t xml:space="preserve">29. Rural and Underserved-Area Staffing</w:t>
      </w:r>
    </w:p>
    <w:p>
      <w:pPr>
        <w:spacing w:after="160" w:line="288"/>
      </w:pPr>
      <w:r>
        <w:rPr>
          <w:rFonts w:ascii="Calibri" w:hAnsi="Calibri"/>
          <w:color w:val="26282B"/>
          <w:sz w:val="22"/>
          <w:szCs w:val="22"/>
        </w:rPr>
        <w:t xml:space="preserve">Rural opportunity discovery, hardship allowances, accommodation/transport information, sponsored placements, and location-based incentives.</w:t>
      </w:r>
    </w:p>
    <w:p>
      <w:pPr>
        <w:pStyle w:val="Heading3"/>
        <w:keepNext/>
        <w:spacing w:after="100" w:before="220"/>
      </w:pPr>
      <w:r>
        <w:rPr>
          <w:rFonts w:ascii="Calibri" w:hAnsi="Calibri"/>
          <w:b/>
          <w:bCs/>
          <w:color w:val="0F7C6C"/>
        </w:rPr>
        <w:t xml:space="preserve">30. Emergency Workforce Pool</w:t>
      </w:r>
    </w:p>
    <w:p>
      <w:pPr>
        <w:spacing w:after="160" w:line="288"/>
      </w:pPr>
      <w:r>
        <w:rPr>
          <w:rFonts w:ascii="Calibri" w:hAnsi="Calibri"/>
          <w:color w:val="26282B"/>
          <w:sz w:val="22"/>
          <w:szCs w:val="22"/>
        </w:rPr>
        <w:t xml:space="preserve">Verified, immediately-available emergency-response personnel with rapid credential confirmation, emergency broadcast invitations, and escalation controls.</w:t>
      </w:r>
    </w:p>
    <w:p>
      <w:pPr>
        <w:pStyle w:val="Heading3"/>
        <w:keepNext/>
        <w:spacing w:after="100" w:before="220"/>
      </w:pPr>
      <w:r>
        <w:rPr>
          <w:rFonts w:ascii="Calibri" w:hAnsi="Calibri"/>
          <w:b/>
          <w:bCs/>
          <w:color w:val="0F7C6C"/>
        </w:rPr>
        <w:t xml:space="preserve">31. Workforce Forecasting</w:t>
      </w:r>
    </w:p>
    <w:p>
      <w:pPr>
        <w:spacing w:after="160" w:line="288"/>
      </w:pPr>
      <w:r>
        <w:rPr>
          <w:rFonts w:ascii="Calibri" w:hAnsi="Calibri"/>
          <w:color w:val="26282B"/>
          <w:sz w:val="22"/>
          <w:szCs w:val="22"/>
        </w:rPr>
        <w:t xml:space="preserve">Predictive modelling of staffing shortages, high-demand specialties, and seasonal patterns; anonymised state- and LGA-level workforce maps.</w:t>
      </w:r>
    </w:p>
    <w:p>
      <w:pPr>
        <w:pStyle w:val="Heading3"/>
        <w:keepNext/>
        <w:spacing w:after="100" w:before="220"/>
      </w:pPr>
      <w:r>
        <w:rPr>
          <w:rFonts w:ascii="Calibri" w:hAnsi="Calibri"/>
          <w:b/>
          <w:bCs/>
          <w:color w:val="0F7C6C"/>
        </w:rPr>
        <w:t xml:space="preserve">32. Agency and Partner Management</w:t>
      </w:r>
    </w:p>
    <w:p>
      <w:pPr>
        <w:spacing w:after="160" w:line="288"/>
      </w:pPr>
      <w:r>
        <w:rPr>
          <w:rFonts w:ascii="Calibri" w:hAnsi="Calibri"/>
          <w:color w:val="26282B"/>
          <w:sz w:val="22"/>
          <w:szCs w:val="22"/>
        </w:rPr>
        <w:t xml:space="preserve">Onboarding and management of locum agencies, training institutions, government programmes, and practitioner groups, including bulk onboarding.</w:t>
      </w:r>
    </w:p>
    <w:p>
      <w:pPr>
        <w:pStyle w:val="Heading3"/>
        <w:keepNext/>
        <w:spacing w:after="100" w:before="220"/>
      </w:pPr>
      <w:r>
        <w:rPr>
          <w:rFonts w:ascii="Calibri" w:hAnsi="Calibri"/>
          <w:b/>
          <w:bCs/>
          <w:color w:val="0F7C6C"/>
        </w:rPr>
        <w:t xml:space="preserve">33. Public and Government Dashboards</w:t>
      </w:r>
    </w:p>
    <w:p>
      <w:pPr>
        <w:spacing w:after="160" w:line="288"/>
      </w:pPr>
      <w:r>
        <w:rPr>
          <w:rFonts w:ascii="Calibri" w:hAnsi="Calibri"/>
          <w:color w:val="26282B"/>
          <w:sz w:val="22"/>
          <w:szCs w:val="22"/>
        </w:rPr>
        <w:t xml:space="preserve">Anonymised, aggregated dashboards only: staffing demand by location, specialty shortages, fill rates, rural workforce trends, and emergency staffing response.</w:t>
      </w:r>
    </w:p>
    <w:p>
      <w:r>
        <w:rPr>
          <w:rFonts w:ascii="Calibri" w:hAnsi="Calibri"/>
        </w:rPr>
        <w:br w:type="page"/>
      </w:r>
    </w:p>
    <w:p>
      <w:pPr>
        <w:pStyle w:val="Heading1"/>
        <w:keepNext/>
        <w:pBdr>
          <w:bottom w:val="single" w:color="0F7C6C" w:sz="8" w:space="4"/>
        </w:pBdr>
        <w:spacing w:after="200" w:before="420"/>
      </w:pPr>
      <w:r>
        <w:rPr>
          <w:rFonts w:ascii="Calibri" w:hAnsi="Calibri"/>
          <w:b/>
          <w:bCs/>
          <w:color w:val="1B2A4A"/>
        </w:rPr>
        <w:t xml:space="preserve">10. Non-Functional Requirements and Nigerian Compliance</w:t>
      </w:r>
    </w:p>
    <w:p>
      <w:pPr>
        <w:pStyle w:val="Heading2"/>
        <w:keepNext/>
        <w:spacing w:after="140" w:before="300"/>
      </w:pPr>
      <w:r>
        <w:rPr>
          <w:rFonts w:ascii="Calibri" w:hAnsi="Calibri"/>
          <w:b/>
          <w:bCs/>
          <w:color w:val="1B2A4A"/>
        </w:rPr>
        <w:t xml:space="preserve">10.1 Performance</w:t>
      </w:r>
    </w:p>
    <w:p>
      <w:pPr>
        <w:pStyle w:val="ListParagraph"/>
        <w:numPr>
          <w:ilvl w:val="0"/>
          <w:numId w:val="1"/>
        </w:numPr>
        <w:spacing w:after="80" w:line="276"/>
      </w:pPr>
      <w:r>
        <w:rPr>
          <w:rFonts w:ascii="Calibri" w:hAnsi="Calibri"/>
        </w:rPr>
        <w:t>Capacity baseline: support 10,000 authenticated active sessions and the separately agreed peak transaction rate. The engineering team must validate the transaction-rate assumption through load testing before production approval.</w:t>
      </w:r>
    </w:p>
    <w:p>
      <w:pPr>
        <w:pStyle w:val="ListParagraph"/>
        <w:numPr>
          <w:ilvl w:val="0"/>
          <w:numId w:val="1"/>
        </w:numPr>
        <w:spacing w:after="80" w:line="276"/>
      </w:pPr>
      <w:r>
        <w:rPr>
          <w:rFonts w:ascii="Calibri" w:hAnsi="Calibri"/>
        </w:rPr>
        <w:t>Performance baseline: internal request submission and acceptance APIs achieve p95 latency below 2 seconds under the approved load profile, excluding documented external-provider latency.</w:t>
      </w:r>
    </w:p>
    <w:p>
      <w:pPr>
        <w:pStyle w:val="Heading2"/>
        <w:keepNext/>
        <w:spacing w:after="140" w:before="300"/>
      </w:pPr>
      <w:r>
        <w:rPr>
          <w:rFonts w:ascii="Calibri" w:hAnsi="Calibri"/>
          <w:b/>
          <w:bCs/>
          <w:color w:val="1B2A4A"/>
        </w:rPr>
        <w:t xml:space="preserve">10.2 Security and Regulatory Compliance</w:t>
      </w:r>
    </w:p>
    <w:p>
      <w:pPr>
        <w:pStyle w:val="ListParagraph"/>
        <w:numPr>
          <w:ilvl w:val="0"/>
          <w:numId w:val="1"/>
        </w:numPr>
        <w:spacing w:after="80" w:line="276"/>
      </w:pPr>
      <w:r>
        <w:rPr>
          <w:rFonts w:ascii="Calibri" w:hAnsi="Calibri"/>
          <w:color w:val="26282B"/>
          <w:sz w:val="22"/>
          <w:szCs w:val="22"/>
        </w:rPr>
        <w:t xml:space="preserve">All personal, professional, and financial data encrypted in transit and at rest.</w:t>
      </w:r>
    </w:p>
    <w:p>
      <w:pPr>
        <w:pStyle w:val="ListParagraph"/>
        <w:numPr>
          <w:ilvl w:val="0"/>
          <w:numId w:val="1"/>
        </w:numPr>
        <w:spacing w:after="80" w:line="276"/>
      </w:pPr>
      <w:r>
        <w:rPr>
          <w:rFonts w:ascii="Calibri" w:hAnsi="Calibri"/>
          <w:color w:val="26282B"/>
          <w:sz w:val="22"/>
          <w:szCs w:val="22"/>
        </w:rPr>
        <w:t xml:space="preserve">Compliance with the Nigeria Data Protection Act, enforced by the Nigeria Data Protection Commission — covering consent, access control, encryption, audit logs, retention rules, breach management, and data-subject request handling.</w:t>
      </w:r>
    </w:p>
    <w:p>
      <w:pPr>
        <w:pStyle w:val="ListParagraph"/>
        <w:numPr>
          <w:ilvl w:val="0"/>
          <w:numId w:val="1"/>
        </w:numPr>
        <w:spacing w:after="80" w:line="276"/>
      </w:pPr>
      <w:r>
        <w:rPr>
          <w:rFonts w:ascii="Calibri" w:hAnsi="Calibri"/>
          <w:color w:val="26282B"/>
          <w:sz w:val="22"/>
          <w:szCs w:val="22"/>
        </w:rPr>
        <w:t xml:space="preserve">Practitioner credential verification aligned with MDCN's licensing, practitioner-status, CPD, and disciplinary records for doctors and dentists, with equivalent checks against NMCN and other relevant councils for other cadres.</w:t>
      </w:r>
    </w:p>
    <w:p>
      <w:pPr>
        <w:pStyle w:val="ListParagraph"/>
        <w:numPr>
          <w:ilvl w:val="0"/>
          <w:numId w:val="1"/>
        </w:numPr>
        <w:spacing w:after="80" w:line="276"/>
      </w:pPr>
      <w:r>
        <w:rPr>
          <w:rFonts w:ascii="Calibri" w:hAnsi="Calibri"/>
          <w:color w:val="26282B"/>
          <w:sz w:val="22"/>
          <w:szCs w:val="22"/>
        </w:rPr>
        <w:t xml:space="preserve">Sensitive identifiers such as NIN or BVN collected only where legally necessary, and only through an authorised verification provider.</w:t>
      </w:r>
    </w:p>
    <w:p>
      <w:pPr>
        <w:pStyle w:val="ListParagraph"/>
        <w:numPr>
          <w:ilvl w:val="0"/>
          <w:numId w:val="1"/>
        </w:numPr>
        <w:spacing w:after="80" w:line="276"/>
      </w:pPr>
      <w:r>
        <w:rPr>
          <w:rFonts w:ascii="Calibri" w:hAnsi="Calibri"/>
          <w:color w:val="26282B"/>
          <w:sz w:val="22"/>
          <w:szCs w:val="22"/>
        </w:rPr>
        <w:t xml:space="preserve">Payment processing conducted exclusively through licensed Nigerian payment partners; Medilink does not itself operate as a deposit-taking institution.</w:t>
      </w:r>
    </w:p>
    <w:p>
      <w:pPr>
        <w:pStyle w:val="Heading2"/>
        <w:keepNext/>
        <w:spacing w:after="140" w:before="300"/>
      </w:pPr>
      <w:r>
        <w:rPr>
          <w:rFonts w:ascii="Calibri" w:hAnsi="Calibri"/>
          <w:b/>
          <w:bCs/>
          <w:color w:val="1B2A4A"/>
        </w:rPr>
        <w:t xml:space="preserve">10.3 Usability</w:t>
      </w:r>
    </w:p>
    <w:p>
      <w:pPr>
        <w:pStyle w:val="ListParagraph"/>
        <w:numPr>
          <w:ilvl w:val="0"/>
          <w:numId w:val="1"/>
        </w:numPr>
        <w:spacing w:after="80" w:line="276"/>
      </w:pPr>
      <w:r>
        <w:rPr>
          <w:rFonts w:ascii="Calibri" w:hAnsi="Calibri"/>
          <w:color w:val="26282B"/>
          <w:sz w:val="22"/>
          <w:szCs w:val="22"/>
        </w:rPr>
        <w:t xml:space="preserve">Interface designed for varied levels of digital literacy across practitioners and facility staff.</w:t>
      </w:r>
    </w:p>
    <w:p>
      <w:pPr>
        <w:pStyle w:val="ListParagraph"/>
        <w:numPr>
          <w:ilvl w:val="0"/>
          <w:numId w:val="1"/>
        </w:numPr>
        <w:spacing w:after="80" w:line="276"/>
      </w:pPr>
      <w:r>
        <w:rPr>
          <w:rFonts w:ascii="Calibri" w:hAnsi="Calibri"/>
          <w:color w:val="26282B"/>
          <w:sz w:val="22"/>
          <w:szCs w:val="22"/>
        </w:rPr>
        <w:t xml:space="preserve">Comprehensive in-app help and documentation, with multilingual support planned for later phases.</w:t>
      </w:r>
    </w:p>
    <w:p>
      <w:pPr>
        <w:pStyle w:val="Heading2"/>
        <w:keepNext/>
      </w:pPr>
      <w:r>
        <w:rPr>
          <w:rFonts w:ascii="Calibri" w:hAnsi="Calibri"/>
        </w:rPr>
        <w:t>10.4 Measurable Release Targets</w:t>
      </w:r>
    </w:p>
    <w:tbl>
      <w:tblPr>
        <w:tblStyle w:val="TableGrid"/>
        <w:tblW w:type="dxa" w:w="9360"/>
        <w:tblLayout w:type="fixed"/>
        <w:tblLook w:firstColumn="1" w:firstRow="1" w:lastColumn="0" w:lastRow="0" w:noHBand="0" w:noVBand="1" w:val="04A0"/>
        <w:jc w:val="left"/>
        <w:tblInd w:w="120" w:type="dxa"/>
      </w:tblPr>
      <w:tblGrid>
        <w:gridCol w:w="1050"/>
        <w:gridCol w:w="1800"/>
        <w:gridCol w:w="6510"/>
      </w:tblGrid>
      <w:tr>
        <w:trPr>
          <w:tblHeader w:val="true"/>
          <w:cantSplit/>
        </w:trPr>
        <w:tc>
          <w:tcPr>
            <w:tcW w:type="dxa" w:w="105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ID</w:t>
            </w:r>
          </w:p>
        </w:tc>
        <w:tc>
          <w:tcPr>
            <w:tcW w:type="dxa" w:w="18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Quality attribute</w:t>
            </w:r>
          </w:p>
        </w:tc>
        <w:tc>
          <w:tcPr>
            <w:tcW w:type="dxa" w:w="651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Phase 1 target / acceptance evidence</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NFR-001</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Availability</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Target 99.9% monthly availability for core authenticated workflows, excluding approved maintenance; verify from production monitoring.</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NFR-002</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API performance</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p95 below 2 seconds for core internal APIs at the approved load profile; external-provider latency reported separately.</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NFR-003</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Capacity</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Load test 10,000 authenticated sessions and the approved peak transaction rate without data loss or breached latency targets.</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NFR-004</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Recovery</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Provisional RPO &lt;= 15 minutes and RTO &lt;= 4 hours, subject to business approval; prove with a restore exercise before launch.</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NFR-005</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Backups</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Encrypted automated backups, retained under the approved policy, with quarterly restore tests and recorded evidence.</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NFR-006</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Security</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MFA mandatory for Medilink administrators, compliance reviewers and finance roles; rate limits, secure secrets, dependency scanning and pre-launch penetration testing.</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NFR-007</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Auditability</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All approval, credential, assignment, timesheet, finance and privileged-admin actions produce immutable actor/time/action records.</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NFR-008</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Observability</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Structured logs, metrics, traces and alerts cover authentication, queue lag, failed notifications, provider errors, reconciliation exceptions and security events.</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NFR-009</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Accessibility</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Core web journeys meet WCAG 2.1 AA to the extent applicable, verified by automated and manual testing.</w:t>
            </w:r>
          </w:p>
        </w:tc>
      </w:tr>
      <w:tr>
        <w:trPr>
          <w:cantSplit/>
        </w:trPr>
        <w:tc>
          <w:tcPr>
            <w:tcW w:type="dxa" w:w="10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NFR-010</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Connectivity</w:t>
            </w:r>
          </w:p>
        </w:tc>
        <w:tc>
          <w:tcPr>
            <w:tcW w:type="dxa" w:w="651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Critical forms preserve drafts and retry safely; essential confirmations have an SMS fallback where consent and delivery rules permit.</w:t>
            </w:r>
          </w:p>
        </w:tc>
      </w:tr>
    </w:tbl>
    <w:p>
      <w:pPr>
        <w:pStyle w:val="Heading2"/>
        <w:keepNext/>
      </w:pPr>
      <w:r>
        <w:rPr>
          <w:rFonts w:ascii="Calibri" w:hAnsi="Calibri"/>
        </w:rPr>
        <w:t>10.5 Security and Privacy Controls</w:t>
      </w:r>
    </w:p>
    <w:p>
      <w:pPr>
        <w:pStyle w:val="ListBullet"/>
        <w:numPr>
          <w:ilvl w:val="0"/>
          <w:numId w:val="1"/>
        </w:numPr>
      </w:pPr>
      <w:r>
        <w:rPr>
          <w:rFonts w:ascii="Calibri" w:hAnsi="Calibri"/>
        </w:rPr>
        <w:t>Encrypt traffic using current approved TLS configurations and encrypt sensitive data and backups at rest.</w:t>
      </w:r>
    </w:p>
    <w:p>
      <w:pPr>
        <w:pStyle w:val="ListBullet"/>
        <w:numPr>
          <w:ilvl w:val="0"/>
          <w:numId w:val="1"/>
        </w:numPr>
      </w:pPr>
      <w:r>
        <w:rPr>
          <w:rFonts w:ascii="Calibri" w:hAnsi="Calibri"/>
        </w:rPr>
        <w:t>Store uploaded credentials in private object storage using short-lived authorised access, malware scanning and retention controls.</w:t>
      </w:r>
    </w:p>
    <w:p>
      <w:pPr>
        <w:pStyle w:val="ListBullet"/>
        <w:numPr>
          <w:ilvl w:val="0"/>
          <w:numId w:val="1"/>
        </w:numPr>
      </w:pPr>
      <w:r>
        <w:rPr>
          <w:rFonts w:ascii="Calibri" w:hAnsi="Calibri"/>
        </w:rPr>
        <w:t>Use least privilege, segregation of finance duties and step-up authentication for sensitive actions.</w:t>
      </w:r>
    </w:p>
    <w:p>
      <w:pPr>
        <w:pStyle w:val="ListBullet"/>
        <w:numPr>
          <w:ilvl w:val="0"/>
          <w:numId w:val="1"/>
        </w:numPr>
      </w:pPr>
      <w:r>
        <w:rPr>
          <w:rFonts w:ascii="Calibri" w:hAnsi="Calibri"/>
        </w:rPr>
        <w:t>Maintain data maps, processing purposes, lawful bases, consent where required, retention schedules and data-subject request procedures.</w:t>
      </w:r>
    </w:p>
    <w:p>
      <w:pPr>
        <w:pStyle w:val="ListBullet"/>
        <w:numPr>
          <w:ilvl w:val="0"/>
          <w:numId w:val="1"/>
        </w:numPr>
      </w:pPr>
      <w:r>
        <w:rPr>
          <w:rFonts w:ascii="Calibri" w:hAnsi="Calibri"/>
        </w:rPr>
        <w:t>Complete threat modelling, privacy impact assessment and incident-response rehearsal before production launch.</w:t>
      </w:r>
    </w:p>
    <w:p>
      <w:pPr>
        <w:pStyle w:val="Heading1"/>
        <w:keepNext/>
        <w:pBdr>
          <w:bottom w:val="single" w:color="0F7C6C" w:sz="8" w:space="4"/>
        </w:pBdr>
        <w:spacing w:after="200" w:before="420"/>
      </w:pPr>
      <w:r>
        <w:rPr>
          <w:rFonts w:ascii="Calibri" w:hAnsi="Calibri"/>
          <w:b/>
          <w:bCs/>
          <w:color w:val="1B2A4A"/>
        </w:rPr>
        <w:t xml:space="preserve">11. Delivery Phases</w:t>
      </w:r>
    </w:p>
    <w:tbl>
      <w:tblPr>
        <w:tblW w:type="dxa" w:w="9360"/>
        <w:jc w:val="left"/>
        <w:tblBorders>
          <w:top w:val="single" w:color="CFD4DA" w:sz="4"/>
          <w:left w:val="single" w:color="CFD4DA" w:sz="4"/>
          <w:bottom w:val="single" w:color="CFD4DA" w:sz="4"/>
          <w:right w:val="single" w:color="CFD4DA" w:sz="4"/>
          <w:insideH w:val="single" w:color="CFD4DA" w:sz="4"/>
          <w:insideV w:val="single" w:color="CFD4DA" w:sz="4"/>
        </w:tblBorders>
        <w:tblLayout w:type="fixed"/>
        <w:tblInd w:w="120" w:type="dxa"/>
      </w:tblPr>
      <w:tblGrid>
        <w:gridCol w:w="2365"/>
        <w:gridCol w:w="6995"/>
      </w:tblGrid>
      <w:tr>
        <w:trPr>
          <w:tblHeader w:val="true"/>
          <w:cantSplit/>
        </w:trPr>
        <w:tc>
          <w:tcPr>
            <w:tcW w:type="dxa" w:w="2365"/>
            <w:shd w:fill="1B2A4A" w:val="clear"/>
            <w:tcMar>
              <w:top w:type="dxa" w:w="80"/>
              <w:left w:type="dxa" w:w="120"/>
              <w:bottom w:type="dxa" w:w="80"/>
              <w:right w:type="dxa" w:w="120"/>
              <w:start w:w="120" w:type="dxa"/>
              <w:end w:w="120" w:type="dxa"/>
            </w:tcMar>
            <w:vAlign w:val="center"/>
          </w:tcPr>
          <w:p>
            <w:r>
              <w:rPr>
                <w:b/>
                <w:bCs/>
                <w:color w:val="FFFFFF"/>
                <w:sz w:val="20"/>
                <w:szCs w:val="20"/>
              </w:rPr>
              <w:t xml:space="preserve">Phase</w:t>
            </w:r>
          </w:p>
        </w:tc>
        <w:tc>
          <w:tcPr>
            <w:tcW w:type="dxa" w:w="6995"/>
            <w:shd w:fill="1B2A4A" w:val="clear"/>
            <w:tcMar>
              <w:top w:type="dxa" w:w="80"/>
              <w:left w:type="dxa" w:w="120"/>
              <w:bottom w:type="dxa" w:w="80"/>
              <w:right w:type="dxa" w:w="120"/>
              <w:start w:w="120" w:type="dxa"/>
              <w:end w:w="120" w:type="dxa"/>
            </w:tcMar>
            <w:vAlign w:val="center"/>
          </w:tcPr>
          <w:p>
            <w:r>
              <w:rPr>
                <w:b/>
                <w:bCs/>
                <w:color w:val="FFFFFF"/>
                <w:sz w:val="20"/>
                <w:szCs w:val="20"/>
              </w:rPr>
              <w:t xml:space="preserve">Scope</w:t>
            </w:r>
          </w:p>
        </w:tc>
      </w:tr>
      <w:tr>
        <w:trPr>
          <w:cantSplit/>
        </w:trPr>
        <w:tc>
          <w:tcPr>
            <w:tcW w:type="dxa" w:w="2365"/>
            <w:tcMar>
              <w:top w:type="dxa" w:w="80"/>
              <w:left w:type="dxa" w:w="120"/>
              <w:bottom w:type="dxa" w:w="80"/>
              <w:right w:type="dxa" w:w="120"/>
              <w:start w:w="120" w:type="dxa"/>
              <w:end w:w="120" w:type="dxa"/>
            </w:tcMar>
            <w:vAlign w:val="center"/>
          </w:tcPr>
          <w:p>
            <w:r>
              <w:rPr>
                <w:b w:val="false"/>
                <w:bCs w:val="false"/>
                <w:color w:val="26282B"/>
                <w:sz w:val="20"/>
                <w:szCs w:val="20"/>
              </w:rPr>
              <w:t xml:space="preserve">Phase 1 — Safe MVP</w:t>
            </w:r>
          </w:p>
        </w:tc>
        <w:tc>
          <w:tcPr>
            <w:tcW w:type="dxa" w:w="6995"/>
            <w:tcMar>
              <w:top w:type="dxa" w:w="80"/>
              <w:left w:type="dxa" w:w="120"/>
              <w:bottom w:type="dxa" w:w="80"/>
              <w:right w:type="dxa" w:w="120"/>
              <w:start w:w="120" w:type="dxa"/>
              <w:end w:w="120" w:type="dxa"/>
            </w:tcMar>
            <w:vAlign w:val="center"/>
          </w:tcPr>
          <w:p>
            <w:r>
              <w:rPr>
                <w:b w:val="false"/>
                <w:bCs w:val="false"/>
                <w:color w:val="26282B"/>
                <w:sz w:val="20"/>
                <w:szCs w:val="20"/>
              </w:rPr>
              <w:t xml:space="preserve">Registration, facility verification, practitioner credentialing, availability, service requests, matching, scheduling, timesheets, agreed rates, payment-provider integration, notifications, audit logs, and disputes.</w:t>
            </w:r>
          </w:p>
        </w:tc>
      </w:tr>
      <w:tr>
        <w:trPr>
          <w:cantSplit/>
        </w:trPr>
        <w:tc>
          <w:tcPr>
            <w:tcW w:type="dxa" w:w="2365"/>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Phase 2 — Operational Expansion</w:t>
            </w:r>
          </w:p>
        </w:tc>
        <w:tc>
          <w:tcPr>
            <w:tcW w:type="dxa" w:w="6995"/>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Recurring shifts, replacement management, ratings, enhanced attendance, analytics, tax statements, credential-expiry automation, and support for multiple practitioner categories.</w:t>
            </w:r>
          </w:p>
        </w:tc>
      </w:tr>
      <w:tr>
        <w:trPr>
          <w:cantSplit/>
        </w:trPr>
        <w:tc>
          <w:tcPr>
            <w:tcW w:type="dxa" w:w="2365"/>
            <w:tcMar>
              <w:top w:type="dxa" w:w="80"/>
              <w:left w:type="dxa" w:w="120"/>
              <w:bottom w:type="dxa" w:w="80"/>
              <w:right w:type="dxa" w:w="120"/>
              <w:start w:w="120" w:type="dxa"/>
              <w:end w:w="120" w:type="dxa"/>
            </w:tcMar>
            <w:vAlign w:val="center"/>
          </w:tcPr>
          <w:p>
            <w:r>
              <w:rPr>
                <w:b w:val="false"/>
                <w:bCs w:val="false"/>
                <w:color w:val="26282B"/>
                <w:sz w:val="20"/>
                <w:szCs w:val="20"/>
              </w:rPr>
              <w:t xml:space="preserve">Phase 3 — Healthcare Ecosystem</w:t>
            </w:r>
          </w:p>
        </w:tc>
        <w:tc>
          <w:tcPr>
            <w:tcW w:type="dxa" w:w="6995"/>
            <w:tcMar>
              <w:top w:type="dxa" w:w="80"/>
              <w:left w:type="dxa" w:w="120"/>
              <w:bottom w:type="dxa" w:w="80"/>
              <w:right w:type="dxa" w:w="120"/>
              <w:start w:w="120" w:type="dxa"/>
              <w:end w:w="120" w:type="dxa"/>
            </w:tcMar>
            <w:vAlign w:val="center"/>
          </w:tcPr>
          <w:p>
            <w:r>
              <w:rPr>
                <w:b w:val="false"/>
                <w:bCs w:val="false"/>
                <w:color w:val="26282B"/>
                <w:sz w:val="20"/>
                <w:szCs w:val="20"/>
              </w:rPr>
              <w:t xml:space="preserve">Telemedicine, CPD, insurance partnerships, workforce forecasting, rural staffing programmes, clinical handover tooling, and government/regulator integrations.</w:t>
            </w:r>
          </w:p>
        </w:tc>
      </w:tr>
    </w:tbl>
    <w:p>
      <w:pPr>
        <w:spacing w:after="160" w:line="288"/>
      </w:pPr>
      <w:r>
        <w:rPr>
          <w:rFonts w:ascii="Calibri" w:hAnsi="Calibri"/>
          <w:color w:val="26282B"/>
          <w:sz w:val="22"/>
          <w:szCs w:val="22"/>
        </w:rPr>
        <w:t xml:space="preserve"/>
      </w:r>
    </w:p>
    <w:p>
      <w:pPr>
        <w:spacing w:after="160" w:line="288"/>
      </w:pPr>
      <w:r>
        <w:rPr>
          <w:rFonts w:ascii="Calibri" w:hAnsi="Calibri"/>
          <w:color w:val="26282B"/>
          <w:sz w:val="22"/>
          <w:szCs w:val="22"/>
        </w:rPr>
        <w:t xml:space="preserve">Recommended build order within Phase 1: authentication and access control; practitioner and facility profiles; credential verification; availability; service requests; matching and assignment; scheduling; attendance and timesheets; rates and contracts; billing and payments; notifications; cancellations and disputes; administration, audit, and compliance.</w:t>
      </w:r>
    </w:p>
    <w:p>
      <w:pPr>
        <w:pStyle w:val="Heading1"/>
        <w:keepNext/>
        <w:pBdr>
          <w:bottom w:val="single" w:color="0F7C6C" w:sz="8" w:space="4"/>
        </w:pBdr>
        <w:spacing w:after="200" w:before="420"/>
      </w:pPr>
      <w:r>
        <w:rPr>
          <w:rFonts w:ascii="Calibri" w:hAnsi="Calibri"/>
          <w:b/>
          <w:bCs/>
          <w:color w:val="1B2A4A"/>
        </w:rPr>
        <w:t xml:space="preserve">12. Key Risks and Mitigations</w:t>
      </w:r>
    </w:p>
    <w:tbl>
      <w:tblPr>
        <w:tblW w:type="dxa" w:w="9360"/>
        <w:jc w:val="left"/>
        <w:tblBorders>
          <w:top w:val="single" w:color="CFD4DA" w:sz="4"/>
          <w:left w:val="single" w:color="CFD4DA" w:sz="4"/>
          <w:bottom w:val="single" w:color="CFD4DA" w:sz="4"/>
          <w:right w:val="single" w:color="CFD4DA" w:sz="4"/>
          <w:insideH w:val="single" w:color="CFD4DA" w:sz="4"/>
          <w:insideV w:val="single" w:color="CFD4DA" w:sz="4"/>
        </w:tblBorders>
        <w:tblLayout w:type="fixed"/>
        <w:tblInd w:w="120" w:type="dxa"/>
      </w:tblPr>
      <w:tblGrid>
        <w:gridCol w:w="3251"/>
        <w:gridCol w:w="6109"/>
      </w:tblGrid>
      <w:tr>
        <w:trPr>
          <w:tblHeader w:val="true"/>
          <w:cantSplit/>
        </w:trPr>
        <w:tc>
          <w:tcPr>
            <w:tcW w:type="dxa" w:w="3251"/>
            <w:shd w:fill="1B2A4A" w:val="clear"/>
            <w:tcMar>
              <w:top w:type="dxa" w:w="80"/>
              <w:left w:type="dxa" w:w="120"/>
              <w:bottom w:type="dxa" w:w="80"/>
              <w:right w:type="dxa" w:w="120"/>
              <w:start w:w="120" w:type="dxa"/>
              <w:end w:w="120" w:type="dxa"/>
            </w:tcMar>
            <w:vAlign w:val="center"/>
          </w:tcPr>
          <w:p>
            <w:r>
              <w:rPr>
                <w:b/>
                <w:bCs/>
                <w:color w:val="FFFFFF"/>
                <w:sz w:val="20"/>
                <w:szCs w:val="20"/>
              </w:rPr>
              <w:t xml:space="preserve">Risk</w:t>
            </w:r>
          </w:p>
        </w:tc>
        <w:tc>
          <w:tcPr>
            <w:tcW w:type="dxa" w:w="6109"/>
            <w:shd w:fill="1B2A4A" w:val="clear"/>
            <w:tcMar>
              <w:top w:type="dxa" w:w="80"/>
              <w:left w:type="dxa" w:w="120"/>
              <w:bottom w:type="dxa" w:w="80"/>
              <w:right w:type="dxa" w:w="120"/>
              <w:start w:w="120" w:type="dxa"/>
              <w:end w:w="120" w:type="dxa"/>
            </w:tcMar>
            <w:vAlign w:val="center"/>
          </w:tcPr>
          <w:p>
            <w:r>
              <w:rPr>
                <w:b/>
                <w:bCs/>
                <w:color w:val="FFFFFF"/>
                <w:sz w:val="20"/>
                <w:szCs w:val="20"/>
              </w:rPr>
              <w:t xml:space="preserve">Mitigation</w:t>
            </w:r>
          </w:p>
        </w:tc>
      </w:tr>
      <w:tr>
        <w:trPr>
          <w:cantSplit/>
        </w:trPr>
        <w:tc>
          <w:tcPr>
            <w:tcW w:type="dxa" w:w="3251"/>
            <w:tcMar>
              <w:top w:type="dxa" w:w="80"/>
              <w:left w:type="dxa" w:w="120"/>
              <w:bottom w:type="dxa" w:w="80"/>
              <w:right w:type="dxa" w:w="120"/>
              <w:start w:w="120" w:type="dxa"/>
              <w:end w:w="120" w:type="dxa"/>
            </w:tcMar>
            <w:vAlign w:val="center"/>
          </w:tcPr>
          <w:p>
            <w:r>
              <w:rPr>
                <w:b w:val="false"/>
                <w:bCs w:val="false"/>
                <w:color w:val="26282B"/>
                <w:sz w:val="20"/>
                <w:szCs w:val="20"/>
              </w:rPr>
              <w:t xml:space="preserve">Unqualified or unlicensed practitioners accepting clinical work</w:t>
            </w:r>
          </w:p>
        </w:tc>
        <w:tc>
          <w:tcPr>
            <w:tcW w:type="dxa" w:w="6109"/>
            <w:tcMar>
              <w:top w:type="dxa" w:w="80"/>
              <w:left w:type="dxa" w:w="120"/>
              <w:bottom w:type="dxa" w:w="80"/>
              <w:right w:type="dxa" w:w="120"/>
              <w:start w:w="120" w:type="dxa"/>
              <w:end w:w="120" w:type="dxa"/>
            </w:tcMar>
            <w:vAlign w:val="center"/>
          </w:tcPr>
          <w:p>
            <w:r>
              <w:rPr>
                <w:b w:val="false"/>
                <w:bCs w:val="false"/>
                <w:color w:val="26282B"/>
                <w:sz w:val="20"/>
                <w:szCs w:val="20"/>
              </w:rPr>
              <w:t xml:space="preserve">Mandatory credential verification (Module 3) before a profile can accept any request; automatic suspension on licence expiry.</w:t>
            </w:r>
          </w:p>
        </w:tc>
      </w:tr>
      <w:tr>
        <w:trPr>
          <w:cantSplit/>
        </w:trPr>
        <w:tc>
          <w:tcPr>
            <w:tcW w:type="dxa" w:w="3251"/>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Unsafe “first-to-accept” matching</w:t>
            </w:r>
          </w:p>
        </w:tc>
        <w:tc>
          <w:tcPr>
            <w:tcW w:type="dxa" w:w="6109"/>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Multi-factor matching with facility confirmation before an assignment is final (Module 7).</w:t>
            </w:r>
          </w:p>
        </w:tc>
      </w:tr>
      <w:tr>
        <w:trPr>
          <w:cantSplit/>
        </w:trPr>
        <w:tc>
          <w:tcPr>
            <w:tcW w:type="dxa" w:w="3251"/>
            <w:tcMar>
              <w:top w:type="dxa" w:w="80"/>
              <w:left w:type="dxa" w:w="120"/>
              <w:bottom w:type="dxa" w:w="80"/>
              <w:right w:type="dxa" w:w="120"/>
              <w:start w:w="120" w:type="dxa"/>
              <w:end w:w="120" w:type="dxa"/>
            </w:tcMar>
            <w:vAlign w:val="center"/>
          </w:tcPr>
          <w:p>
            <w:r>
              <w:rPr>
                <w:b w:val="false"/>
                <w:bCs w:val="false"/>
                <w:color w:val="26282B"/>
                <w:sz w:val="20"/>
                <w:szCs w:val="20"/>
              </w:rPr>
              <w:t xml:space="preserve">Regulatory exposure from an informal wallet model</w:t>
            </w:r>
          </w:p>
        </w:tc>
        <w:tc>
          <w:tcPr>
            <w:tcW w:type="dxa" w:w="6109"/>
            <w:tcMar>
              <w:top w:type="dxa" w:w="80"/>
              <w:left w:type="dxa" w:w="120"/>
              <w:bottom w:type="dxa" w:w="80"/>
              <w:right w:type="dxa" w:w="120"/>
              <w:start w:w="120" w:type="dxa"/>
              <w:end w:w="120" w:type="dxa"/>
            </w:tcMar>
            <w:vAlign w:val="center"/>
          </w:tcPr>
          <w:p>
            <w:r>
              <w:rPr>
                <w:b w:val="false"/>
                <w:bCs w:val="false"/>
                <w:color w:val="26282B"/>
                <w:sz w:val="20"/>
                <w:szCs w:val="20"/>
              </w:rPr>
              <w:t xml:space="preserve">Ledger-plus-licensed-provider settlement model, reviewed by Nigerian payments and legal counsel (Section 8.4).</w:t>
            </w:r>
          </w:p>
        </w:tc>
      </w:tr>
      <w:tr>
        <w:trPr>
          <w:cantSplit/>
        </w:trPr>
        <w:tc>
          <w:tcPr>
            <w:tcW w:type="dxa" w:w="3251"/>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Data-protection non-compliance</w:t>
            </w:r>
          </w:p>
        </w:tc>
        <w:tc>
          <w:tcPr>
            <w:tcW w:type="dxa" w:w="6109"/>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Dedicated Security, Privacy and Audit module (16) built to NDPA/NDPC requirements from day one.</w:t>
            </w:r>
          </w:p>
        </w:tc>
      </w:tr>
      <w:tr>
        <w:trPr>
          <w:cantSplit/>
        </w:trPr>
        <w:tc>
          <w:tcPr>
            <w:tcW w:type="dxa" w:w="3251"/>
            <w:tcMar>
              <w:top w:type="dxa" w:w="80"/>
              <w:left w:type="dxa" w:w="120"/>
              <w:bottom w:type="dxa" w:w="80"/>
              <w:right w:type="dxa" w:w="120"/>
              <w:start w:w="120" w:type="dxa"/>
              <w:end w:w="120" w:type="dxa"/>
            </w:tcMar>
            <w:vAlign w:val="center"/>
          </w:tcPr>
          <w:p>
            <w:r>
              <w:rPr>
                <w:b w:val="false"/>
                <w:bCs w:val="false"/>
                <w:color w:val="26282B"/>
                <w:sz w:val="20"/>
                <w:szCs w:val="20"/>
              </w:rPr>
              <w:t xml:space="preserve">Unreliable connectivity affecting attendance capture and notifications</w:t>
            </w:r>
          </w:p>
        </w:tc>
        <w:tc>
          <w:tcPr>
            <w:tcW w:type="dxa" w:w="6109"/>
            <w:tcMar>
              <w:top w:type="dxa" w:w="80"/>
              <w:left w:type="dxa" w:w="120"/>
              <w:bottom w:type="dxa" w:w="80"/>
              <w:right w:type="dxa" w:w="120"/>
              <w:start w:w="120" w:type="dxa"/>
              <w:end w:w="120" w:type="dxa"/>
            </w:tcMar>
            <w:vAlign w:val="center"/>
          </w:tcPr>
          <w:p>
            <w:r>
              <w:rPr>
                <w:b w:val="false"/>
                <w:bCs w:val="false"/>
                <w:color w:val="26282B"/>
                <w:sz w:val="20"/>
                <w:szCs w:val="20"/>
              </w:rPr>
              <w:t xml:space="preserve">Non-GPS-dependent check-in fallback (OTP/QR/manual) and SMS-first notification strategy.</w:t>
            </w:r>
          </w:p>
        </w:tc>
      </w:tr>
      <w:tr>
        <w:trPr>
          <w:cantSplit/>
        </w:trPr>
        <w:tc>
          <w:tcPr>
            <w:tcW w:type="dxa" w:w="3251"/>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Schema/technology mismatch slowing development</w:t>
            </w:r>
          </w:p>
        </w:tc>
        <w:tc>
          <w:tcPr>
            <w:tcW w:type="dxa" w:w="6109"/>
            <w:shd w:fill="F2F3F5" w:val="clear"/>
            <w:tcMar>
              <w:top w:type="dxa" w:w="80"/>
              <w:left w:type="dxa" w:w="120"/>
              <w:bottom w:type="dxa" w:w="80"/>
              <w:right w:type="dxa" w:w="120"/>
              <w:start w:w="120" w:type="dxa"/>
              <w:end w:w="120" w:type="dxa"/>
            </w:tcMar>
            <w:vAlign w:val="center"/>
          </w:tcPr>
          <w:p>
            <w:r>
              <w:rPr>
                <w:b w:val="false"/>
                <w:bCs w:val="false"/>
                <w:color w:val="26282B"/>
                <w:sz w:val="20"/>
                <w:szCs w:val="20"/>
              </w:rPr>
              <w:t xml:space="preserve">Single relational engine (PostgreSQL) used throughout, replacing the original MongoDB/AWS RDS pairing.</w:t>
            </w:r>
          </w:p>
        </w:tc>
      </w:tr>
    </w:tbl>
    <w:p>
      <w:pPr>
        <w:pStyle w:val="Heading1"/>
        <w:keepNext/>
      </w:pPr>
      <w:r>
        <w:rPr>
          <w:rFonts w:ascii="Calibri" w:hAnsi="Calibri"/>
        </w:rPr>
        <w:t>13. Development Requirements and Acceptance Criteria</w:t>
      </w:r>
    </w:p>
    <w:p>
      <w:r>
        <w:rPr>
          <w:rFonts w:ascii="Calibri" w:hAnsi="Calibri"/>
        </w:rPr>
        <w:t>The following requirements are the minimum behavioural contract for Phase 1. Detailed user stories may elaborate them but must not weaken them without approved change control.</w:t>
      </w:r>
    </w:p>
    <w:tbl>
      <w:tblPr>
        <w:tblStyle w:val="TableGrid"/>
        <w:tblW w:type="dxa" w:w="9360"/>
        <w:tblLayout w:type="fixed"/>
        <w:tblLook w:firstColumn="1" w:firstRow="1" w:lastColumn="0" w:lastRow="0" w:noHBand="0" w:noVBand="1" w:val="04A0"/>
        <w:jc w:val="left"/>
        <w:tblInd w:w="120" w:type="dxa"/>
      </w:tblPr>
      <w:tblGrid>
        <w:gridCol w:w="900"/>
        <w:gridCol w:w="1250"/>
        <w:gridCol w:w="3600"/>
        <w:gridCol w:w="3610"/>
      </w:tblGrid>
      <w:tr>
        <w:trPr>
          <w:tblHeader w:val="true"/>
          <w:cantSplit/>
        </w:trPr>
        <w:tc>
          <w:tcPr>
            <w:tcW w:type="dxa" w:w="9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ID</w:t>
            </w:r>
          </w:p>
        </w:tc>
        <w:tc>
          <w:tcPr>
            <w:tcW w:type="dxa" w:w="125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Module</w:t>
            </w:r>
          </w:p>
        </w:tc>
        <w:tc>
          <w:tcPr>
            <w:tcW w:type="dxa" w:w="36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Requirement</w:t>
            </w:r>
          </w:p>
        </w:tc>
        <w:tc>
          <w:tcPr>
            <w:tcW w:type="dxa" w:w="361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Acceptance evidence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AUTH-001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Access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Users authenticate through verified email or Nigerian phone number; privileged roles use MFA.</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Tests show unverified users and privileged users without MFA cannot access protected actions.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AUTH-002</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Authorisation</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Every protected operation checks a named permission on the server.</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Permission-matrix tests deny each unauthorised role; client-side hiding alone is not accepted.</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PRAC-001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Practitioner</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 practitioner cannot accept clinical work until identity and mandatory credentials are verified.</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API and UI block assignment while status is Draft, Under Review, Rejected, Expired or Suspended.</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CRED-001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Credentials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Credentials retain source, reviewer, decision, evidence, validity dates and immutable history.</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Audit test reconstructs every verification and automatically blocks expired credentials.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FAC-001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Facilities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Only verified facilities and authorised branch users may publish staffing requests.</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Unverified facilities receive a deterministic denial and audit entry.</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REQ-001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Requests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 published request contains specialty/category, location, time, responsibilities, rate, terms and required credentials.</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Validation rejects incomplete publication and records status transitions.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MATCH-001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Matching</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Eligibility excludes licence, credential, schedule, fatigue and location conflicts before ranking.</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Scenario tests prove ineligible practitioners never receive a confirmable assignment.</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ASGN-001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Assignment</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Facility confirmation and practitioner confirmation are recorded before an assignment becomes Confirmed.</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Concurrent-acceptance tests cannot overfill a position or create duplicate assignments.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SCH-001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Scheduling</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All stored timestamps use UTC and display in the configured timezone, defaulting to West Africa Time.</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Boundary tests cover overnight shifts and daylight/timezone conversion behaviour.</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ATT-001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Attendance</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Attendance supports supervisor OTP/QR plus a controlled manual fallback; GPS is never the sole proof.</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Each check-in method records actor, time, evidence and exception reason.</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TIME-001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Timesheets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Practitioner submission and facility approval create immutable revisions and support rejection/dispute.</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Approved records cannot be silently overwritten; corrections create a new revision.</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CONT-001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Contracts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Rate, allowances, cancellation rules and terms version are accepted before confirmation.</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System reproduces the exact accepted terms for any assignment.</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FIN-001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Finance</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Invoices, fees, withholding, payouts, refunds and reversals post balanced ledger entries.</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Automated tests reject unbalanced journals and prove reversal rather than destructive update.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FIN-002</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Payments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Provider callbacks are authenticated, idempotent and reconciled against internal references.</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Repeated or out-of-order callbacks do not duplicate payment or payout.</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OPS-001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Cancellations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Cancellation and no-show events apply approved policy versions and support evidence and override reasons.</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Tests cover both parties, late cancellation, replacement and administrator override.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CASE-001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Cases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Disputes maintain evidence, ownership, status history, decision and communication trail.</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 closed case is fully reconstructable from audit records.</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NOTF-001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Notifications</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Critical notifications use queued delivery, retries, deduplication and fallback rules.</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Provider failure tests produce retries, operational alerts and no duplicate user spam.</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PRIV-001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Privacy</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Data access, export, correction, restriction and approved deletion workflows are supported.</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Privacy-request tests prove identity verification, approval and retained audit evidence.</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AUD-001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Audit</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Privileged and regulated events are append-only and searchable by authorised reviewers.</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Tamper and access tests prove ordinary application roles cannot alter audit history.</w:t>
            </w:r>
          </w:p>
        </w:tc>
      </w:tr>
      <w:tr>
        <w:trPr>
          <w:cantSplit/>
        </w:trPr>
        <w:tc>
          <w:tcPr>
            <w:tcW w:type="dxa" w:w="9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REL-001</w:t>
            </w:r>
          </w:p>
        </w:tc>
        <w:tc>
          <w:tcPr>
            <w:tcW w:type="dxa" w:w="125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Reliability</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Business mutations and their domain events commit atomically through the outbox pattern.</w:t>
            </w:r>
          </w:p>
        </w:tc>
        <w:tc>
          <w:tcPr>
            <w:tcW w:type="dxa" w:w="361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Failure-injection test proves committed changes eventually publish once without lost events.</w:t>
            </w:r>
          </w:p>
        </w:tc>
      </w:tr>
    </w:tbl>
    <w:p>
      <w:pPr>
        <w:pStyle w:val="Heading2"/>
        <w:keepNext/>
      </w:pPr>
      <w:r>
        <w:rPr>
          <w:rFonts w:ascii="Calibri" w:hAnsi="Calibri"/>
        </w:rPr>
        <w:t>13.1 Core State Models</w:t>
      </w:r>
    </w:p>
    <w:tbl>
      <w:tblPr>
        <w:tblStyle w:val="TableGrid"/>
        <w:tblW w:type="dxa" w:w="9360"/>
        <w:tblLayout w:type="fixed"/>
        <w:tblLook w:firstColumn="1" w:firstRow="1" w:lastColumn="0" w:lastRow="0" w:noHBand="0" w:noVBand="1" w:val="04A0"/>
        <w:jc w:val="left"/>
        <w:tblInd w:w="120" w:type="dxa"/>
      </w:tblPr>
      <w:tblGrid>
        <w:gridCol w:w="1500"/>
        <w:gridCol w:w="3300"/>
        <w:gridCol w:w="4560"/>
      </w:tblGrid>
      <w:tr>
        <w:trPr>
          <w:tblHeader w:val="true"/>
          <w:cantSplit/>
        </w:trPr>
        <w:tc>
          <w:tcPr>
            <w:tcW w:type="dxa" w:w="15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Aggregate</w:t>
            </w:r>
          </w:p>
        </w:tc>
        <w:tc>
          <w:tcPr>
            <w:tcW w:type="dxa" w:w="33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Minimum states</w:t>
            </w:r>
          </w:p>
        </w:tc>
        <w:tc>
          <w:tcPr>
            <w:tcW w:type="dxa" w:w="456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Controlled transition rule</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Service request</w:t>
            </w:r>
          </w:p>
        </w:tc>
        <w:tc>
          <w:tcPr>
            <w:tcW w:type="dxa" w:w="3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Draft, Published, Matching, Partially Filled, Filled, In Progress, Completed, Cancelled, Disputed</w:t>
            </w:r>
          </w:p>
        </w:tc>
        <w:tc>
          <w:tcPr>
            <w:tcW w:type="dxa" w:w="45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Only authorised facility or operational actions may move state; every transition records actor, reason and time.</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Assignment</w:t>
            </w:r>
          </w:p>
        </w:tc>
        <w:tc>
          <w:tcPr>
            <w:tcW w:type="dxa" w:w="3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Invited, Applied, Offered, Practitioner Confirmed, Facility Confirmed, Confirmed, In Progress, Completed, Cancelled, No-show</w:t>
            </w:r>
          </w:p>
        </w:tc>
        <w:tc>
          <w:tcPr>
            <w:tcW w:type="dxa" w:w="45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Confirmation is capacity-safe and transactional; cancellation after confirmation invokes policy.</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Timesheet</w:t>
            </w:r>
          </w:p>
        </w:tc>
        <w:tc>
          <w:tcPr>
            <w:tcW w:type="dxa" w:w="3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Draft, Submitted, Approved, Rejected, Disputed, Corrected</w:t>
            </w:r>
          </w:p>
        </w:tc>
        <w:tc>
          <w:tcPr>
            <w:tcW w:type="dxa" w:w="45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Approved data is immutable; corrections create linked revisions.</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Payment</w:t>
            </w:r>
          </w:p>
        </w:tc>
        <w:tc>
          <w:tcPr>
            <w:tcW w:type="dxa" w:w="3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Initiated, Pending Provider, Successful, Failed, Reversed, Refunded, Reconciled</w:t>
            </w:r>
          </w:p>
        </w:tc>
        <w:tc>
          <w:tcPr>
            <w:tcW w:type="dxa" w:w="45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Provider events are authenticated and idempotent; finance exceptions enter a review queue.</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Case</w:t>
            </w:r>
          </w:p>
        </w:tc>
        <w:tc>
          <w:tcPr>
            <w:tcW w:type="dxa" w:w="3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Open, Triage, Investigating, Awaiting Party, Decision Issued, Appealed, Closed</w:t>
            </w:r>
          </w:p>
        </w:tc>
        <w:tc>
          <w:tcPr>
            <w:tcW w:type="dxa" w:w="45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Only assigned authorised roles issue decisions; all evidence and communication is retained under policy.</w:t>
            </w:r>
          </w:p>
        </w:tc>
      </w:tr>
    </w:tbl>
    <w:p>
      <w:pPr>
        <w:pStyle w:val="Heading2"/>
        <w:keepNext/>
      </w:pPr>
      <w:r>
        <w:rPr>
          <w:rFonts w:ascii="Calibri" w:hAnsi="Calibri"/>
        </w:rPr>
        <w:t>13.2 Permission Baseline</w:t>
      </w:r>
    </w:p>
    <w:tbl>
      <w:tblPr>
        <w:tblStyle w:val="TableGrid"/>
        <w:tblW w:type="dxa" w:w="9360"/>
        <w:tblLayout w:type="fixed"/>
        <w:tblLook w:firstColumn="1" w:firstRow="1" w:lastColumn="0" w:lastRow="0" w:noHBand="0" w:noVBand="1" w:val="04A0"/>
        <w:jc w:val="left"/>
        <w:tblInd w:w="120" w:type="dxa"/>
      </w:tblPr>
      <w:tblGrid>
        <w:gridCol w:w="1600"/>
        <w:gridCol w:w="1400"/>
        <w:gridCol w:w="1800"/>
        <w:gridCol w:w="1500"/>
        <w:gridCol w:w="1600"/>
        <w:gridCol w:w="1460"/>
      </w:tblGrid>
      <w:tr>
        <w:trPr>
          <w:tblHeader w:val="true"/>
          <w:cantSplit/>
        </w:trPr>
        <w:tc>
          <w:tcPr>
            <w:tcW w:type="dxa" w:w="16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Action</w:t>
            </w:r>
          </w:p>
        </w:tc>
        <w:tc>
          <w:tcPr>
            <w:tcW w:type="dxa" w:w="14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Practitioner</w:t>
            </w:r>
          </w:p>
        </w:tc>
        <w:tc>
          <w:tcPr>
            <w:tcW w:type="dxa" w:w="18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Facility operations</w:t>
            </w:r>
          </w:p>
        </w:tc>
        <w:tc>
          <w:tcPr>
            <w:tcW w:type="dxa" w:w="15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Facility finance</w:t>
            </w:r>
          </w:p>
        </w:tc>
        <w:tc>
          <w:tcPr>
            <w:tcW w:type="dxa" w:w="16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Medilink operations</w:t>
            </w:r>
          </w:p>
        </w:tc>
        <w:tc>
          <w:tcPr>
            <w:tcW w:type="dxa" w:w="146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5"/>
              </w:rPr>
              <w:t>Compliance / Finance</w:t>
            </w:r>
          </w:p>
        </w:tc>
      </w:tr>
      <w:tr>
        <w:trPr>
          <w:cantSplit/>
        </w:trP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Manage own profile</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Yes</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Support only</w:t>
            </w:r>
          </w:p>
        </w:tc>
        <w:tc>
          <w:tcPr>
            <w:tcW w:type="dxa" w:w="146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Review only</w:t>
            </w:r>
          </w:p>
        </w:tc>
      </w:tr>
      <w:tr>
        <w:trPr>
          <w:cantSplit/>
        </w:trP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Publish request</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Yes</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Override with reason</w:t>
            </w:r>
          </w:p>
        </w:tc>
        <w:tc>
          <w:tcPr>
            <w:tcW w:type="dxa" w:w="146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r>
      <w:tr>
        <w:trPr>
          <w:cantSplit/>
        </w:trP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Confirm assignment</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Own confirmation</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Yes</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Override with reason</w:t>
            </w:r>
          </w:p>
        </w:tc>
        <w:tc>
          <w:tcPr>
            <w:tcW w:type="dxa" w:w="146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r>
      <w:tr>
        <w:trPr>
          <w:cantSplit/>
        </w:trP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Submit / approve timesheet</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Submit</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Approve</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View</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Resolve exception</w:t>
            </w:r>
          </w:p>
        </w:tc>
        <w:tc>
          <w:tcPr>
            <w:tcW w:type="dxa" w:w="146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View</w:t>
            </w:r>
          </w:p>
        </w:tc>
      </w:tr>
      <w:tr>
        <w:trPr>
          <w:cantSplit/>
        </w:trP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Release payout</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Facility authorisation only</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46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Finance only; segregated duties</w:t>
            </w:r>
          </w:p>
        </w:tc>
      </w:tr>
      <w:tr>
        <w:trPr>
          <w:cantSplit/>
        </w:trP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Verify credential</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No</w:t>
            </w:r>
          </w:p>
        </w:tc>
        <w:tc>
          <w:tcPr>
            <w:tcW w:type="dxa" w:w="146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Compliance only</w:t>
            </w:r>
          </w:p>
        </w:tc>
      </w:tr>
      <w:tr>
        <w:trPr>
          <w:cantSplit/>
        </w:trP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Resolve dispute</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Participate</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Participate</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Participate</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Assigned case role</w:t>
            </w:r>
          </w:p>
        </w:tc>
        <w:tc>
          <w:tcPr>
            <w:tcW w:type="dxa" w:w="1460"/>
            <w:tcMar>
              <w:top w:w="80" w:type="dxa"/>
              <w:start w:w="120" w:type="dxa"/>
              <w:bottom w:w="80" w:type="dxa"/>
              <w:end w:w="120" w:type="dxa"/>
            </w:tcMar>
            <w:vAlign w:val="center"/>
          </w:tcPr>
          <w:p>
            <w:pPr>
              <w:spacing w:before="0" w:after="40" w:line="252" w:lineRule="auto"/>
            </w:pPr>
            <w:r>
              <w:rPr>
                <w:rFonts w:ascii="Calibri" w:hAnsi="Calibri"/>
                <w:b w:val="0"/>
                <w:i w:val="0"/>
                <w:color w:val="000000"/>
                <w:sz w:val="15"/>
              </w:rPr>
              <w:t>Specialist decision where required</w:t>
            </w:r>
          </w:p>
        </w:tc>
      </w:tr>
    </w:tbl>
    <w:p>
      <w:pPr>
        <w:pStyle w:val="Heading1"/>
        <w:keepNext/>
      </w:pPr>
      <w:r>
        <w:rPr>
          <w:rFonts w:ascii="Calibri" w:hAnsi="Calibri"/>
        </w:rPr>
        <w:t>14. Deployment and Operational Architecture</w:t>
      </w:r>
    </w:p>
    <w:p>
      <w:pPr>
        <w:shd w:fill="EAF2F8"/>
        <w:pBdr>
          <w:top w:val="single" w:sz="4" w:space="6" w:color="D0D5DD"/>
          <w:left w:val="single" w:sz="4" w:space="6" w:color="D0D5DD"/>
          <w:bottom w:val="single" w:sz="4" w:space="6" w:color="D0D5DD"/>
          <w:right w:val="single" w:sz="4" w:space="6" w:color="D0D5DD"/>
        </w:pBdr>
        <w:spacing w:before="120" w:after="160"/>
        <w:ind w:left="115" w:right="115"/>
      </w:pPr>
      <w:r>
        <w:rPr>
          <w:rFonts w:ascii="Calibri" w:hAnsi="Calibri"/>
          <w:b/>
          <w:i w:val="0"/>
          <w:color w:val="1F4D78"/>
          <w:sz w:val="22"/>
        </w:rPr>
        <w:t xml:space="preserve">Architecture decision: </w:t>
      </w:r>
      <w:r>
        <w:rPr>
          <w:rFonts w:ascii="Calibri" w:hAnsi="Calibri"/>
          <w:b w:val="0"/>
          <w:i w:val="0"/>
          <w:color w:val="000000"/>
          <w:sz w:val="22"/>
        </w:rPr>
        <w:t>Medilink remains one modular codebase at MVP stage, but production uses separate web/API and background-worker processes. A modular monolith describes code and domain boundaries, not a requirement to run every workload in one process.</w:t>
      </w:r>
    </w:p>
    <w:tbl>
      <w:tblPr>
        <w:tblStyle w:val="TableGrid"/>
        <w:tblW w:type="dxa" w:w="9360"/>
        <w:tblLayout w:type="fixed"/>
        <w:tblLook w:firstColumn="1" w:firstRow="1" w:lastColumn="0" w:lastRow="0" w:noHBand="0" w:noVBand="1" w:val="04A0"/>
        <w:jc w:val="left"/>
        <w:tblInd w:w="120" w:type="dxa"/>
      </w:tblPr>
      <w:tblGrid>
        <w:gridCol w:w="1800"/>
        <w:gridCol w:w="3360"/>
        <w:gridCol w:w="4200"/>
      </w:tblGrid>
      <w:tr>
        <w:trPr>
          <w:tblHeader w:val="true"/>
          <w:cantSplit/>
        </w:trPr>
        <w:tc>
          <w:tcPr>
            <w:tcW w:type="dxa" w:w="18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Component</w:t>
            </w:r>
          </w:p>
        </w:tc>
        <w:tc>
          <w:tcPr>
            <w:tcW w:type="dxa" w:w="336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Responsibility</w:t>
            </w:r>
          </w:p>
        </w:tc>
        <w:tc>
          <w:tcPr>
            <w:tcW w:type="dxa" w:w="42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Minimum operational requirement</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Next.js web/API</w:t>
            </w:r>
          </w:p>
        </w:tc>
        <w:tc>
          <w:tcPr>
            <w:tcW w:type="dxa" w:w="33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User interface, server-rendered pages and bounded request/response APIs</w:t>
            </w:r>
          </w:p>
        </w:tc>
        <w:tc>
          <w:tcPr>
            <w:tcW w:type="dxa" w:w="42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Stateless deployment where possible; horizontal scaling; health checks; rate limits.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Background worker</w:t>
            </w:r>
          </w:p>
        </w:tc>
        <w:tc>
          <w:tcPr>
            <w:tcW w:type="dxa" w:w="33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Outbox publication, notifications, scheduled checks, reconciliation and long-running jobs</w:t>
            </w:r>
          </w:p>
        </w:tc>
        <w:tc>
          <w:tcPr>
            <w:tcW w:type="dxa" w:w="42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Independent process/container; retries, dead-letter handling, idempotency and queue-lag alerts.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PostgreSQL</w:t>
            </w:r>
          </w:p>
        </w:tc>
        <w:tc>
          <w:tcPr>
            <w:tcW w:type="dxa" w:w="33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Transactional system of record</w:t>
            </w:r>
          </w:p>
        </w:tc>
        <w:tc>
          <w:tcPr>
            <w:tcW w:type="dxa" w:w="42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Managed backups, point-in-time recovery, connection pooling, migrations and least-privilege roles.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Private object storage</w:t>
            </w:r>
          </w:p>
        </w:tc>
        <w:tc>
          <w:tcPr>
            <w:tcW w:type="dxa" w:w="33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Credentials, evidence and generated documents</w:t>
            </w:r>
          </w:p>
        </w:tc>
        <w:tc>
          <w:tcPr>
            <w:tcW w:type="dxa" w:w="42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Encryption, malware scanning, short-lived authorised access and retention enforcement.</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Payment adapters</w:t>
            </w:r>
          </w:p>
        </w:tc>
        <w:tc>
          <w:tcPr>
            <w:tcW w:type="dxa" w:w="33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Collection, verification, settlement and payout provider integration</w:t>
            </w:r>
          </w:p>
        </w:tc>
        <w:tc>
          <w:tcPr>
            <w:tcW w:type="dxa" w:w="42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Signed/authenticated callbacks, idempotency, reconciliation and provider failover procedure.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Messaging adapters</w:t>
            </w:r>
          </w:p>
        </w:tc>
        <w:tc>
          <w:tcPr>
            <w:tcW w:type="dxa" w:w="33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Email, SMS, push and approved WhatsApp delivery</w:t>
            </w:r>
          </w:p>
        </w:tc>
        <w:tc>
          <w:tcPr>
            <w:tcW w:type="dxa" w:w="42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Queue-based delivery, consent/preferences, retry policy and delivery-status capture.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Observability</w:t>
            </w:r>
          </w:p>
        </w:tc>
        <w:tc>
          <w:tcPr>
            <w:tcW w:type="dxa" w:w="33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Logs, metrics, traces, alerting and audit search</w:t>
            </w:r>
          </w:p>
        </w:tc>
        <w:tc>
          <w:tcPr>
            <w:tcW w:type="dxa" w:w="42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Centralised, access-controlled and retained under approved policy.</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CI/CD and secrets</w:t>
            </w:r>
          </w:p>
        </w:tc>
        <w:tc>
          <w:tcPr>
            <w:tcW w:type="dxa" w:w="33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Build, test, migrations and controlled deployment</w:t>
            </w:r>
          </w:p>
        </w:tc>
        <w:tc>
          <w:tcPr>
            <w:tcW w:type="dxa" w:w="42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Protected environments, approvals, rollback plan and managed secret storage.</w:t>
            </w:r>
          </w:p>
        </w:tc>
      </w:tr>
    </w:tbl>
    <w:p>
      <w:pPr>
        <w:pStyle w:val="Heading2"/>
        <w:keepNext/>
      </w:pPr>
      <w:r>
        <w:rPr>
          <w:rFonts w:ascii="Calibri" w:hAnsi="Calibri"/>
        </w:rPr>
        <w:t>14.1 Delivery and Migration Rules</w:t>
      </w:r>
    </w:p>
    <w:p>
      <w:pPr>
        <w:pStyle w:val="ListBullet"/>
        <w:numPr>
          <w:ilvl w:val="0"/>
          <w:numId w:val="1"/>
        </w:numPr>
      </w:pPr>
      <w:r>
        <w:rPr>
          <w:rFonts w:ascii="Calibri" w:hAnsi="Calibri"/>
        </w:rPr>
        <w:t>Every schema change uses a reviewed, reversible migration with a production rollback or roll-forward plan.</w:t>
      </w:r>
    </w:p>
    <w:p>
      <w:pPr>
        <w:pStyle w:val="ListBullet"/>
        <w:numPr>
          <w:ilvl w:val="0"/>
          <w:numId w:val="1"/>
        </w:numPr>
      </w:pPr>
      <w:r>
        <w:rPr>
          <w:rFonts w:ascii="Calibri" w:hAnsi="Calibri"/>
        </w:rPr>
        <w:t>Background jobs and provider callbacks are idempotent; retries must not duplicate assignments, notifications or money movement.</w:t>
      </w:r>
    </w:p>
    <w:p>
      <w:pPr>
        <w:pStyle w:val="ListBullet"/>
        <w:numPr>
          <w:ilvl w:val="0"/>
          <w:numId w:val="1"/>
        </w:numPr>
      </w:pPr>
      <w:r>
        <w:rPr>
          <w:rFonts w:ascii="Calibri" w:hAnsi="Calibri"/>
        </w:rPr>
        <w:t>Feature flags include owner, expiry/review date, rollout scope and safe default.</w:t>
      </w:r>
    </w:p>
    <w:p>
      <w:pPr>
        <w:pStyle w:val="ListBullet"/>
        <w:numPr>
          <w:ilvl w:val="0"/>
          <w:numId w:val="1"/>
        </w:numPr>
      </w:pPr>
      <w:r>
        <w:rPr>
          <w:rFonts w:ascii="Calibri" w:hAnsi="Calibri"/>
        </w:rPr>
        <w:t>API breaking changes require versioning and a documented consumer migration period.</w:t>
      </w:r>
    </w:p>
    <w:p>
      <w:pPr>
        <w:pStyle w:val="ListBullet"/>
        <w:numPr>
          <w:ilvl w:val="0"/>
          <w:numId w:val="1"/>
        </w:numPr>
      </w:pPr>
      <w:r>
        <w:rPr>
          <w:rFonts w:ascii="Calibri" w:hAnsi="Calibri"/>
        </w:rPr>
        <w:t>Production releases require automated tests, migration rehearsal, monitoring checks and named approval.</w:t>
      </w:r>
    </w:p>
    <w:p>
      <w:pPr>
        <w:pStyle w:val="Heading1"/>
        <w:keepNext/>
      </w:pPr>
      <w:r>
        <w:rPr>
          <w:rFonts w:ascii="Calibri" w:hAnsi="Calibri"/>
        </w:rPr>
        <w:t>15. Compliance and Governance Decisions</w:t>
      </w:r>
    </w:p>
    <w:p>
      <w:r>
        <w:rPr>
          <w:rFonts w:ascii="Calibri" w:hAnsi="Calibri"/>
        </w:rPr>
        <w:t>This document defines product controls but is not legal advice. The following decisions must be recorded before production launch and revisited when the operating model changes.</w:t>
      </w:r>
    </w:p>
    <w:tbl>
      <w:tblPr>
        <w:tblStyle w:val="TableGrid"/>
        <w:tblW w:type="dxa" w:w="9360"/>
        <w:tblLayout w:type="fixed"/>
        <w:tblLook w:firstColumn="1" w:firstRow="1" w:lastColumn="0" w:lastRow="0" w:noHBand="0" w:noVBand="1" w:val="04A0"/>
        <w:jc w:val="left"/>
        <w:tblInd w:w="120" w:type="dxa"/>
      </w:tblPr>
      <w:tblGrid>
        <w:gridCol w:w="1800"/>
        <w:gridCol w:w="4300"/>
        <w:gridCol w:w="1500"/>
        <w:gridCol w:w="1760"/>
      </w:tblGrid>
      <w:tr>
        <w:trPr>
          <w:tblHeader w:val="true"/>
          <w:cantSplit/>
        </w:trPr>
        <w:tc>
          <w:tcPr>
            <w:tcW w:type="dxa" w:w="18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Decision area</w:t>
            </w:r>
          </w:p>
        </w:tc>
        <w:tc>
          <w:tcPr>
            <w:tcW w:type="dxa" w:w="43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Required decision / evidence</w:t>
            </w:r>
          </w:p>
        </w:tc>
        <w:tc>
          <w:tcPr>
            <w:tcW w:type="dxa" w:w="15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Owner</w:t>
            </w:r>
          </w:p>
        </w:tc>
        <w:tc>
          <w:tcPr>
            <w:tcW w:type="dxa" w:w="176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Gate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Data protection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Controller/processor roles, lawful bases, privacy notices, data map, DPIA, retention and data-subject procedures.</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Privacy / Legal</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Before production data</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Regulatory verification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Approved verification method for MDCN, NMCN and every supported professional category; manual fallback and evidence standard.</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Clinical / Compliance</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Before category launch</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Facility verification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Authoritative facility licence and authorised-representative checks by facility type and state.</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Compliance</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Before facility activation</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Payments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Licensed provider structure, flow of funds, refunds, chargebacks, reconciliation, KYC and whether any regulated payment activity is triggered.</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Finance / Legal</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Before live collection</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Tax</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VAT, withholding, reporting and invoicing responsibilities for platform, facility and practitioner.</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Finance / Tax</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Before first invoice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Contractor status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Engagement model, terms, benefits boundaries and labour-law implications.</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Legal / Product</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Before practitioner terms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Clinical liability</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Responsibility of facility, practitioner and platform; indemnity; incident reporting; complaints and regulator escalation.</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Clinical / Legal</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Before first assignment</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Hosting and transfers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Hosting regions, vendor processing, cross-border transfer basis and contract safeguards.</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Privacy / Technical</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Before vendor approval</w:t>
            </w:r>
          </w:p>
        </w:tc>
      </w:tr>
    </w:tbl>
    <w:p>
      <w:pPr>
        <w:pStyle w:val="Heading1"/>
        <w:keepNext/>
      </w:pPr>
      <w:r>
        <w:rPr>
          <w:rFonts w:ascii="Calibri" w:hAnsi="Calibri"/>
        </w:rPr>
        <w:t>16. References</w:t>
      </w:r>
    </w:p>
    <w:p>
      <w:hyperlink r:id="rId10">
        <w:r>
          <w:rPr>
            <w:color w:val="2E74B5"/>
            <w:u w:val="single"/>
          </w:rPr>
          <w:t>Medical and Dental Council of Nigeria (MDCN)</w:t>
        </w:r>
      </w:hyperlink>
      <w:r>
        <w:rPr>
          <w:rFonts w:ascii="Calibri" w:hAnsi="Calibri"/>
        </w:rPr>
        <w:t xml:space="preserve"> — Practitioner registration, annual licensing, status confirmation, CPD and professional discipline.</w:t>
      </w:r>
    </w:p>
    <w:p>
      <w:hyperlink r:id="rId11">
        <w:r>
          <w:rPr>
            <w:color w:val="2E74B5"/>
            <w:u w:val="single"/>
          </w:rPr>
          <w:t>Nigeria Data Protection Commission (NDPC)</w:t>
        </w:r>
      </w:hyperlink>
      <w:r>
        <w:rPr>
          <w:rFonts w:ascii="Calibri" w:hAnsi="Calibri"/>
        </w:rPr>
        <w:t xml:space="preserve"> — Nigeria Data Protection Act oversight, controller/processor responsibilities and breach reporting.</w:t>
      </w:r>
    </w:p>
    <w:p>
      <w:hyperlink r:id="rId12">
        <w:r>
          <w:rPr>
            <w:color w:val="2E74B5"/>
            <w:u w:val="single"/>
          </w:rPr>
          <w:t>Federal Ministry of Health and Social Welfare</w:t>
        </w:r>
      </w:hyperlink>
      <w:r>
        <w:rPr>
          <w:rFonts w:ascii="Calibri" w:hAnsi="Calibri"/>
        </w:rPr>
        <w:t xml:space="preserve"> — National healthcare policy context and federal health-system programmes.</w:t>
      </w:r>
    </w:p>
    <w:p>
      <w:hyperlink r:id="rId13">
        <w:r>
          <w:rPr>
            <w:color w:val="2E74B5"/>
            <w:u w:val="single"/>
          </w:rPr>
          <w:t>Central Bank of Nigeria</w:t>
        </w:r>
      </w:hyperlink>
      <w:r>
        <w:rPr>
          <w:rFonts w:ascii="Calibri" w:hAnsi="Calibri"/>
        </w:rPr>
        <w:t xml:space="preserve"> — Payments-system regulatory authority; specific product structure requires specialist confirmation.</w:t>
      </w:r>
    </w:p>
    <w:p>
      <w:hyperlink r:id="rId14">
        <w:r>
          <w:rPr>
            <w:color w:val="2E74B5"/>
            <w:u w:val="single"/>
          </w:rPr>
          <w:t>Corporate Affairs Commission</w:t>
        </w:r>
      </w:hyperlink>
      <w:r>
        <w:rPr>
          <w:rFonts w:ascii="Calibri" w:hAnsi="Calibri"/>
        </w:rPr>
        <w:t xml:space="preserve"> — Corporate registration context for facility entities and authorised representatives.</w:t>
      </w:r>
    </w:p>
    <w:p>
      <w:r>
        <w:rPr>
          <w:rFonts w:ascii="Calibri" w:hAnsi="Calibri"/>
        </w:rPr>
        <w:t>All regulatory and tax references must be revalidated by responsible Nigerian advisers immediately before launch and whenever the operating model changes.</w:t>
      </w:r>
    </w:p>
    <w:p>
      <w:pPr>
        <w:pStyle w:val="Heading1"/>
        <w:keepNext/>
      </w:pPr>
      <w:r>
        <w:rPr>
          <w:rFonts w:ascii="Calibri" w:hAnsi="Calibri"/>
        </w:rPr>
        <w:t>17. Release Approval Gate</w:t>
      </w:r>
    </w:p>
    <w:tbl>
      <w:tblPr>
        <w:tblStyle w:val="TableGrid"/>
        <w:tblW w:type="dxa" w:w="9360"/>
        <w:tblLayout w:type="fixed"/>
        <w:tblLook w:firstColumn="1" w:firstRow="1" w:lastColumn="0" w:lastRow="0" w:noHBand="0" w:noVBand="1" w:val="04A0"/>
        <w:jc w:val="left"/>
        <w:tblInd w:w="120" w:type="dxa"/>
      </w:tblPr>
      <w:tblGrid>
        <w:gridCol w:w="1550"/>
        <w:gridCol w:w="4750"/>
        <w:gridCol w:w="1760"/>
        <w:gridCol w:w="1300"/>
      </w:tblGrid>
      <w:tr>
        <w:trPr>
          <w:tblHeader w:val="true"/>
          <w:cantSplit/>
        </w:trPr>
        <w:tc>
          <w:tcPr>
            <w:tcW w:type="dxa" w:w="155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Gate</w:t>
            </w:r>
          </w:p>
        </w:tc>
        <w:tc>
          <w:tcPr>
            <w:tcW w:type="dxa" w:w="475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Required evidence</w:t>
            </w:r>
          </w:p>
        </w:tc>
        <w:tc>
          <w:tcPr>
            <w:tcW w:type="dxa" w:w="176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Owner</w:t>
            </w:r>
          </w:p>
        </w:tc>
        <w:tc>
          <w:tcPr>
            <w:tcW w:type="dxa" w:w="1300"/>
            <w:tcMar>
              <w:top w:w="80" w:type="dxa"/>
              <w:start w:w="120" w:type="dxa"/>
              <w:bottom w:w="80" w:type="dxa"/>
              <w:end w:w="120" w:type="dxa"/>
            </w:tcMar>
            <w:vAlign w:val="center"/>
            <w:shd w:fill="F2F4F7"/>
          </w:tcPr>
          <w:p>
            <w:pPr>
              <w:spacing w:before="0" w:after="40" w:line="252" w:lineRule="auto"/>
            </w:pPr>
            <w:r>
              <w:rPr>
                <w:rFonts w:ascii="Calibri" w:hAnsi="Calibri"/>
                <w:b/>
                <w:i w:val="0"/>
                <w:color w:val="000000"/>
                <w:sz w:val="16"/>
              </w:rPr>
              <w:t>Status</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Product</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P0 scope, workflows, pricing assumptions and acceptance criteria approved.</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Product Owner</w:t>
            </w:r>
          </w:p>
        </w:tc>
        <w:tc>
          <w:tcPr>
            <w:tcW w:type="dxa" w:w="1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Pending</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Clinical safety</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Credential, fatigue, incident, misconduct and escalation controls approved.</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Clinical Governance Lead</w:t>
            </w:r>
          </w:p>
        </w:tc>
        <w:tc>
          <w:tcPr>
            <w:tcW w:type="dxa" w:w="1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Pending</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Architecture</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ERD, APIs, state models, deployment topology and operational runbooks approved.</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Technical Lead</w:t>
            </w:r>
          </w:p>
        </w:tc>
        <w:tc>
          <w:tcPr>
            <w:tcW w:type="dxa" w:w="1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Pending</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Privacy and legal</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DPIA, notices, contracts, retention, liability and regulator obligations approved.</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Privacy / Legal Lead</w:t>
            </w:r>
          </w:p>
        </w:tc>
        <w:tc>
          <w:tcPr>
            <w:tcW w:type="dxa" w:w="1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Pending</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Finance</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Ledger, settlement, tax, reconciliation and provider operating model approved.</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Finance / Payments Lead</w:t>
            </w:r>
          </w:p>
        </w:tc>
        <w:tc>
          <w:tcPr>
            <w:tcW w:type="dxa" w:w="1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Pending</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Quality</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Automated tests, accessibility checks, load test, penetration test and restore exercise passed.</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Quality / Security</w:t>
            </w:r>
          </w:p>
        </w:tc>
        <w:tc>
          <w:tcPr>
            <w:tcW w:type="dxa" w:w="1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Pending</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Operations</w:t>
            </w:r>
          </w:p>
        </w:tc>
        <w:tc>
          <w:tcPr>
            <w:tcW w:type="dxa" w:w="475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Support, incident response, monitoring, escalation and business-continuity runbooks rehearsed.</w:t>
            </w:r>
          </w:p>
        </w:tc>
        <w:tc>
          <w:tcPr>
            <w:tcW w:type="dxa" w:w="176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Operations Lead</w:t>
            </w:r>
          </w:p>
        </w:tc>
        <w:tc>
          <w:tcPr>
            <w:tcW w:type="dxa" w:w="1300"/>
            <w:tcMar>
              <w:top w:w="80" w:type="dxa"/>
              <w:start w:w="120" w:type="dxa"/>
              <w:bottom w:w="80" w:type="dxa"/>
              <w:end w:w="120" w:type="dxa"/>
            </w:tcMar>
            <w:vAlign w:val="center"/>
          </w:tcPr>
          <w:p>
            <w:pPr>
              <w:spacing w:before="0" w:after="40" w:line="252" w:lineRule="auto"/>
            </w:pPr>
            <w:r>
              <w:rPr>
                <w:rFonts w:ascii="Calibri" w:hAnsi="Calibri"/>
                <w:b w:val="0"/>
                <w:i w:val="0"/>
                <w:color w:val="000000"/>
                <w:sz w:val="16"/>
              </w:rPr>
              <w:t>Pending</w:t>
            </w:r>
          </w:p>
        </w:tc>
      </w:tr>
    </w:tbl>
    <w:p>
      <w:pPr>
        <w:shd w:fill="EAF6EE"/>
        <w:pBdr>
          <w:top w:val="single" w:sz="4" w:space="6" w:color="D0D5DD"/>
          <w:left w:val="single" w:sz="4" w:space="6" w:color="D0D5DD"/>
          <w:bottom w:val="single" w:sz="4" w:space="6" w:color="D0D5DD"/>
          <w:right w:val="single" w:sz="4" w:space="6" w:color="D0D5DD"/>
        </w:pBdr>
        <w:spacing w:before="120" w:after="160"/>
        <w:ind w:left="115" w:right="115"/>
      </w:pPr>
      <w:r>
        <w:rPr>
          <w:rFonts w:ascii="Calibri" w:hAnsi="Calibri"/>
          <w:b/>
          <w:i w:val="0"/>
          <w:color w:val="1F4D78"/>
          <w:sz w:val="22"/>
        </w:rPr>
        <w:t xml:space="preserve">Release rule: </w:t>
      </w:r>
      <w:r>
        <w:rPr>
          <w:rFonts w:ascii="Calibri" w:hAnsi="Calibri"/>
          <w:b w:val="0"/>
          <w:i w:val="0"/>
          <w:color w:val="000000"/>
          <w:sz w:val="22"/>
        </w:rPr>
        <w:t>The Phase 1 production launch is authorised only when every mandatory gate is Approved or has a documented, time-bounded risk acceptance signed by the accountable owner.</w:t>
      </w:r>
    </w:p>
    <w:p>
      <w:pPr>
        <w:pStyle w:val="Heading1"/>
        <w:keepNext/>
        <w:pBdr>
          <w:bottom w:val="single" w:color="0F7C6C" w:sz="8" w:space="4"/>
        </w:pBdr>
        <w:spacing w:after="200" w:before="420"/>
      </w:pPr>
      <w:r>
        <w:rPr>
          <w:rFonts w:ascii="Calibri" w:hAnsi="Calibri"/>
        </w:rPr>
        <w:t>18. Conclusion</w:t>
      </w:r>
    </w:p>
    <w:p>
      <w:pPr>
        <w:spacing w:after="160" w:line="288"/>
      </w:pPr>
      <w:r>
        <w:rPr>
          <w:rFonts w:ascii="Calibri" w:hAnsi="Calibri"/>
        </w:rPr>
        <w:t>Medilink is a verified, clinically governed healthcare-workforce platform rather than merely an “Uber for doctors.” Correct qualifications, transparent engagement terms, auditable attendance and reliable settlement are built into every assignment. The modular Next.js and PostgreSQL architecture supports controlled expansion into additional practitioner categories and later ecosystem features without weakening the Phase 1 safety baseline.</w:t>
      </w:r>
    </w:p>
    <w:p>
      <w:pPr>
        <w:spacing w:after="160" w:line="288"/>
      </w:pPr>
      <w:r>
        <w:rPr>
          <w:rFonts w:ascii="Calibri" w:hAnsi="Calibri"/>
          <w:color w:val="26282B"/>
          <w:sz w:val="22"/>
          <w:szCs w:val="22"/>
        </w:rPr>
        <w:t xml:space="preserve">The central architectural principle to preserve at every stage of growth is simple: existing modules own their data, and new modules extend the system through public services, events, and interfaces — never by reaching directly into another module's internal tables.</w:t>
      </w:r>
    </w:p>
    <w:sectPr>
      <w:headerReference w:type="default" r:id="rId7"/>
      <w:footerReference w:type="default" r:id="rId8"/>
      <w:pgSz w:w="12240" w:h="15840" w:orient="portrait"/>
      <w:pgMar w:top="1440" w:right="1440" w:bottom="1440" w:left="1440" w:header="648" w:footer="64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hAnsi="Calibri"/>
        <w:b w:val="0"/>
        <w:i w:val="0"/>
        <w:color w:val="667085"/>
        <w:sz w:val="17"/>
      </w:rPr>
      <w:t xml:space="preserve">Confidential  •  Release Candidate  •  Page </w:t>
    </w:r>
    <w:r>
      <w:fldChar w:fldCharType="begin" w:dirty="true"/>
    </w:r>
    <w:r>
      <w:instrText xml:space="preserve">PAGE</w:instrText>
    </w:r>
    <w:r>
      <w:fldChar w:fldCharType="separate"/>
    </w:r>
    <w:r>
      <w:fldChar w:fldCharType="end"/>
    </w:r>
    <w:r>
      <w:rPr>
        <w:rFonts w:ascii="Calibri" w:hAnsi="Calibri"/>
        <w:b w:val="0"/>
        <w:i w:val="0"/>
        <w:color w:val="667085"/>
        <w:sz w:val="17"/>
      </w:rPr>
      <w:t xml:space="preserve"> of </w:t>
    </w:r>
    <w:r>
      <w:fldChar w:fldCharType="begin" w:dirty="true"/>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hAnsi="Calibri"/>
        <w:b w:val="0"/>
        <w:i w:val="0"/>
        <w:color w:val="667085"/>
        <w:sz w:val="17"/>
      </w:rPr>
      <w:t>MEDILINK  |  System Requirements &amp; Architecture  |  Version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320"/>
    </w:pPr>
    <w:rPr>
      <w:rFonts w:ascii="Calibri" w:cs="Calibri" w:eastAsia="Calibri" w:hAnsi="Calibri"/>
      <w:b/>
      <w:bCs/>
      <w:color w:val="2E74B5"/>
      <w:sz w:val="32"/>
      <w:szCs w:val="32"/>
    </w:rPr>
  </w:style>
  <w:style w:type="paragraph" w:styleId="Heading2">
    <w:name w:val="Heading 2"/>
    <w:basedOn w:val="Normal"/>
    <w:next w:val="Normal"/>
    <w:qFormat/>
    <w:pPr>
      <w:keepNext/>
      <w:spacing w:after="120" w:before="240"/>
    </w:pPr>
    <w:rPr>
      <w:rFonts w:ascii="Calibri" w:cs="Calibri" w:eastAsia="Calibri" w:hAnsi="Calibri"/>
      <w:b/>
      <w:bCs/>
      <w:color w:val="2E74B5"/>
      <w:sz w:val="26"/>
      <w:szCs w:val="26"/>
    </w:rPr>
  </w:style>
  <w:style w:type="paragraph" w:styleId="Heading3">
    <w:name w:val="Heading 3"/>
    <w:basedOn w:val="Normal"/>
    <w:next w:val="Normal"/>
    <w:qFormat/>
    <w:pPr>
      <w:keepNext/>
      <w:spacing w:after="80" w:before="160"/>
    </w:pPr>
    <w:rPr>
      <w:rFonts w:ascii="Calibri" w:cs="Calibri" w:eastAsia="Calibri" w:hAnsi="Calibri"/>
      <w:b/>
      <w:bCs/>
      <w:color w:val="1F4D78"/>
      <w:sz w:val="24"/>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160" w:line="280" w:lineRule="auto"/>
    </w:pPr>
    <w:rPr>
      <w:rFonts w:ascii="Calibri" w:hAnsi="Calibri"/>
      <w:sz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before="0" w:after="120" w:line="264" w:lineRule="auto"/>
    </w:pPr>
    <w:rPr>
      <w:rFonts w:ascii="Calibri" w:hAnsi="Calibri"/>
      <w:sz w:val="22"/>
    </w:rPr>
  </w:style>
  <w:style w:type="paragraph" w:customStyle="1" w:styleId="ListBullet">
    <w:name w:val="List Bullet"/>
    <w:pPr>
      <w:spacing w:after="160" w:line="280" w:lineRule="auto"/>
    </w:pPr>
    <w:rPr>
      <w:rFonts w:ascii="Calibri" w:hAnsi="Calibri"/>
      <w:sz w:val="22"/>
    </w:rPr>
  </w:style>
  <w:style w:type="paragraph" w:customStyle="1" w:styleId="ListBullet2">
    <w:name w:val="List Bullet 2"/>
    <w:pPr>
      <w:spacing w:after="160" w:line="280" w:lineRule="auto"/>
    </w:pPr>
    <w:rPr>
      <w:rFonts w:ascii="Calibri" w:hAnsi="Calibri"/>
      <w:sz w:val="22"/>
    </w:rPr>
  </w:style>
  <w:style w:type="paragraph" w:customStyle="1" w:styleId="ListNumber">
    <w:name w:val="List Number"/>
    <w:pPr>
      <w:spacing w:after="160" w:line="280" w:lineRule="auto"/>
    </w:pPr>
    <w:rPr>
      <w:rFonts w:ascii="Calibri" w:hAnsi="Calibri"/>
      <w:sz w:val="22"/>
    </w:rP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ww.mdcn.gov.ng/" TargetMode="External"/><Relationship Id="rId11" Type="http://schemas.openxmlformats.org/officeDocument/2006/relationships/hyperlink" Target="https://ndpc.gov.ng/" TargetMode="External"/><Relationship Id="rId12" Type="http://schemas.openxmlformats.org/officeDocument/2006/relationships/hyperlink" Target="https://health.gov.ng/" TargetMode="External"/><Relationship Id="rId13" Type="http://schemas.openxmlformats.org/officeDocument/2006/relationships/hyperlink" Target="https://www.cbn.gov.ng/" TargetMode="External"/><Relationship Id="rId14" Type="http://schemas.openxmlformats.org/officeDocument/2006/relationships/hyperlink" Target="https://www.cac.gov.ng/"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Medilink Product and Engineering Team</dc:creator>
  <cp:lastModifiedBy>Medilink Product and Engineering Team</cp:lastModifiedBy>
  <cp:revision>2</cp:revision>
  <dcterms:created xsi:type="dcterms:W3CDTF">2026-07-05T20:50:45.877Z</dcterms:created>
  <dcterms:modified xsi:type="dcterms:W3CDTF">2026-07-05T20:50:45.891Z</dcterms:modified>
  <dc:title>Medilink System Requirements and Architecture Specification</dc:title>
  <dc:subject>Nigeria healthcare workforce and locum-management platform</dc:subject>
  <dc:description>Version 2.1 release candidate prepared for formal approval.</dc:description>
  <cp:keywords>Medilink, Nigeria, healthcare workforce, locum, Next.js, PostgreSQL</cp:keywords>
</cp:coreProperties>
</file>

<file path=docProps/custom.xml><?xml version="1.0" encoding="utf-8"?>
<Properties xmlns="http://schemas.openxmlformats.org/officeDocument/2006/custom-properties" xmlns:vt="http://schemas.openxmlformats.org/officeDocument/2006/docPropsVTypes"/>
</file>