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Calculated Raman spectra of MB⁺: comparison of free molecule and flat adsorption on Ag₄₀</w:t>
      </w:r>
    </w:p>
    <w:p>
      <w:pPr>
        <w:jc w:val="center"/>
      </w:pPr>
      <w:r>
        <w:rPr>
          <w:i/>
        </w:rPr>
        <w:t>Comparison based on the three supplied TmoleX/TURBOMOLE Excel exports</w:t>
      </w:r>
    </w:p>
    <w:p>
      <w:pPr>
        <w:pStyle w:val="Heading1"/>
      </w:pPr>
      <w:r>
        <w:t>1. Overlay of calculated spectra</w:t>
      </w:r>
    </w:p>
    <w:p>
      <w:r>
        <w:t>For comparability, the original (ort,unpol) line intensities between 500 and 1800 cm⁻¹ were normalized separately to 100 %. The overlay below uses the same Gaussian broadening (σ = 8 cm⁻¹) for all three data sets. Thus, peak positions and relative intensity patterns can be compared directly; absolute intensities are not compared.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15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n_Overlay_MB_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Calculated Raman spectra, normalized within 500–1800 cm⁻¹.</w:t>
      </w:r>
    </w:p>
    <w:p>
      <w:pPr>
        <w:pStyle w:val="Heading1"/>
      </w:pPr>
      <w:r>
        <w:t>2. Tabular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</w:rPr>
              <w:t>Spectral region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MB⁺ no COSMO</w:t>
              <w:br/>
              <w:t>/cm⁻¹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MB⁺ COSMO geometry</w:t>
              <w:br/>
              <w:t>/cm⁻¹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MB⁺/Ag₄₀ flat</w:t>
              <w:br/>
              <w:t>/cm⁻¹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045"/>
          </w:tcPr>
          <w:p>
            <w:r>
              <w:t>Main high-frequency band</w:t>
            </w:r>
          </w:p>
        </w:tc>
        <w:tc>
          <w:tcPr>
            <w:tcW w:type="dxa" w:w="2045"/>
          </w:tcPr>
          <w:p>
            <w:r>
              <w:t>1638.35</w:t>
            </w:r>
          </w:p>
        </w:tc>
        <w:tc>
          <w:tcPr>
            <w:tcW w:type="dxa" w:w="2045"/>
          </w:tcPr>
          <w:p>
            <w:r>
              <w:t>1639.12</w:t>
            </w:r>
          </w:p>
        </w:tc>
        <w:tc>
          <w:tcPr>
            <w:tcW w:type="dxa" w:w="2045"/>
          </w:tcPr>
          <w:p>
            <w:r>
              <w:t>1626.04</w:t>
            </w:r>
          </w:p>
        </w:tc>
        <w:tc>
          <w:tcPr>
            <w:tcW w:type="dxa" w:w="2045"/>
          </w:tcPr>
          <w:p>
            <w:r>
              <w:t>Ag: red shift ≈ 12–13 cm⁻¹</w:t>
            </w:r>
          </w:p>
        </w:tc>
      </w:tr>
      <w:tr>
        <w:tc>
          <w:tcPr>
            <w:tcW w:type="dxa" w:w="2045"/>
          </w:tcPr>
          <w:p>
            <w:r>
              <w:t>~1530 cm⁻¹ region</w:t>
            </w:r>
          </w:p>
        </w:tc>
        <w:tc>
          <w:tcPr>
            <w:tcW w:type="dxa" w:w="2045"/>
          </w:tcPr>
          <w:p>
            <w:r>
              <w:t>1530.50</w:t>
            </w:r>
          </w:p>
        </w:tc>
        <w:tc>
          <w:tcPr>
            <w:tcW w:type="dxa" w:w="2045"/>
          </w:tcPr>
          <w:p>
            <w:r>
              <w:t>1537.51</w:t>
            </w:r>
          </w:p>
        </w:tc>
        <w:tc>
          <w:tcPr>
            <w:tcW w:type="dxa" w:w="2045"/>
          </w:tcPr>
          <w:p>
            <w:r>
              <w:t>1501.86*</w:t>
            </w:r>
          </w:p>
        </w:tc>
        <w:tc>
          <w:tcPr>
            <w:tcW w:type="dxa" w:w="2045"/>
          </w:tcPr>
          <w:p>
            <w:r>
              <w:t>Ag: marked intensity redistribution</w:t>
            </w:r>
          </w:p>
        </w:tc>
      </w:tr>
      <w:tr>
        <w:tc>
          <w:tcPr>
            <w:tcW w:type="dxa" w:w="2045"/>
          </w:tcPr>
          <w:p>
            <w:r>
              <w:t>~1490 cm⁻¹ region</w:t>
            </w:r>
          </w:p>
        </w:tc>
        <w:tc>
          <w:tcPr>
            <w:tcW w:type="dxa" w:w="2045"/>
          </w:tcPr>
          <w:p>
            <w:r>
              <w:t>1486.09</w:t>
            </w:r>
          </w:p>
        </w:tc>
        <w:tc>
          <w:tcPr>
            <w:tcW w:type="dxa" w:w="2045"/>
          </w:tcPr>
          <w:p>
            <w:r>
              <w:t>1490.22</w:t>
            </w:r>
          </w:p>
        </w:tc>
        <w:tc>
          <w:tcPr>
            <w:tcW w:type="dxa" w:w="2045"/>
          </w:tcPr>
          <w:p>
            <w:r>
              <w:t>1490–1502*</w:t>
            </w:r>
          </w:p>
        </w:tc>
        <w:tc>
          <w:tcPr>
            <w:tcW w:type="dxa" w:w="2045"/>
          </w:tcPr>
          <w:p>
            <w:r>
              <w:t>Position broadly retained</w:t>
            </w:r>
          </w:p>
        </w:tc>
      </w:tr>
      <w:tr>
        <w:tc>
          <w:tcPr>
            <w:tcW w:type="dxa" w:w="2045"/>
          </w:tcPr>
          <w:p>
            <w:r>
              <w:t>~1450 cm⁻¹ region</w:t>
            </w:r>
          </w:p>
        </w:tc>
        <w:tc>
          <w:tcPr>
            <w:tcW w:type="dxa" w:w="2045"/>
          </w:tcPr>
          <w:p>
            <w:r>
              <w:t>1447.71</w:t>
            </w:r>
          </w:p>
        </w:tc>
        <w:tc>
          <w:tcPr>
            <w:tcW w:type="dxa" w:w="2045"/>
          </w:tcPr>
          <w:p>
            <w:r>
              <w:t>1447.25</w:t>
            </w:r>
          </w:p>
        </w:tc>
        <w:tc>
          <w:tcPr>
            <w:tcW w:type="dxa" w:w="2045"/>
          </w:tcPr>
          <w:p>
            <w:r>
              <w:t>near 1450*</w:t>
            </w:r>
          </w:p>
        </w:tc>
        <w:tc>
          <w:tcPr>
            <w:tcW w:type="dxa" w:w="2045"/>
          </w:tcPr>
          <w:p>
            <w:r>
              <w:t>Small frequency change</w:t>
            </w:r>
          </w:p>
        </w:tc>
      </w:tr>
      <w:tr>
        <w:tc>
          <w:tcPr>
            <w:tcW w:type="dxa" w:w="2045"/>
          </w:tcPr>
          <w:p>
            <w:r>
              <w:t>~1370–1380 cm⁻¹ region</w:t>
            </w:r>
          </w:p>
        </w:tc>
        <w:tc>
          <w:tcPr>
            <w:tcW w:type="dxa" w:w="2045"/>
          </w:tcPr>
          <w:p>
            <w:r>
              <w:t>1377.20</w:t>
            </w:r>
          </w:p>
        </w:tc>
        <w:tc>
          <w:tcPr>
            <w:tcW w:type="dxa" w:w="2045"/>
          </w:tcPr>
          <w:p>
            <w:r>
              <w:t>1378.88</w:t>
            </w:r>
          </w:p>
        </w:tc>
        <w:tc>
          <w:tcPr>
            <w:tcW w:type="dxa" w:w="2045"/>
          </w:tcPr>
          <w:p>
            <w:r>
              <w:t>1366.28 / 1370.44</w:t>
            </w:r>
          </w:p>
        </w:tc>
        <w:tc>
          <w:tcPr>
            <w:tcW w:type="dxa" w:w="2045"/>
          </w:tcPr>
          <w:p>
            <w:r>
              <w:t>Ag: red shift / splitting</w:t>
            </w:r>
          </w:p>
        </w:tc>
      </w:tr>
      <w:tr>
        <w:tc>
          <w:tcPr>
            <w:tcW w:type="dxa" w:w="2045"/>
          </w:tcPr>
          <w:p>
            <w:r>
              <w:t>~1150 cm⁻¹ region</w:t>
            </w:r>
          </w:p>
        </w:tc>
        <w:tc>
          <w:tcPr>
            <w:tcW w:type="dxa" w:w="2045"/>
          </w:tcPr>
          <w:p>
            <w:r>
              <w:t>1149.06</w:t>
            </w:r>
          </w:p>
        </w:tc>
        <w:tc>
          <w:tcPr>
            <w:tcW w:type="dxa" w:w="2045"/>
          </w:tcPr>
          <w:p>
            <w:r>
              <w:t>1150.67</w:t>
            </w:r>
          </w:p>
        </w:tc>
        <w:tc>
          <w:tcPr>
            <w:tcW w:type="dxa" w:w="2045"/>
          </w:tcPr>
          <w:p>
            <w:r>
              <w:t>1164.85</w:t>
            </w:r>
          </w:p>
        </w:tc>
        <w:tc>
          <w:tcPr>
            <w:tcW w:type="dxa" w:w="2045"/>
          </w:tcPr>
          <w:p>
            <w:r>
              <w:t>Ag: blue shift ≈ 14–16 cm⁻¹</w:t>
            </w:r>
          </w:p>
        </w:tc>
      </w:tr>
      <w:tr>
        <w:tc>
          <w:tcPr>
            <w:tcW w:type="dxa" w:w="2045"/>
          </w:tcPr>
          <w:p>
            <w:r>
              <w:t>~950 cm⁻¹ region</w:t>
            </w:r>
          </w:p>
        </w:tc>
        <w:tc>
          <w:tcPr>
            <w:tcW w:type="dxa" w:w="2045"/>
          </w:tcPr>
          <w:p>
            <w:r>
              <w:t>948.77</w:t>
            </w:r>
          </w:p>
        </w:tc>
        <w:tc>
          <w:tcPr>
            <w:tcW w:type="dxa" w:w="2045"/>
          </w:tcPr>
          <w:p>
            <w:r>
              <w:t>948.46</w:t>
            </w:r>
          </w:p>
        </w:tc>
        <w:tc>
          <w:tcPr>
            <w:tcW w:type="dxa" w:w="2045"/>
          </w:tcPr>
          <w:p>
            <w:r>
              <w:t>near 940–950*</w:t>
            </w:r>
          </w:p>
        </w:tc>
        <w:tc>
          <w:tcPr>
            <w:tcW w:type="dxa" w:w="2045"/>
          </w:tcPr>
          <w:p>
            <w:r>
              <w:t>Moderate change</w:t>
            </w:r>
          </w:p>
        </w:tc>
      </w:tr>
    </w:tbl>
    <w:p>
      <w:r>
        <w:t>*For the Ag₄₀ system, several regions contain multiple modes and strongly redistributed intensities; entries marked with an asterisk are therefore spectral-region comparisons rather than one-to-one mode assignments.</w:t>
      </w:r>
    </w:p>
    <w:p>
      <w:pPr>
        <w:pStyle w:val="Heading1"/>
      </w:pPr>
      <w:r>
        <w:t>3. Main findings</w:t>
      </w:r>
    </w:p>
    <w:p>
      <w:r>
        <w:t>The dominant high-frequency Raman band of free MB⁺ occurs at 1638.35 cm⁻¹ (no COSMO) and 1639.12 cm⁻¹ (COSMO-optimized geometry). In the flat MB⁺/Ag₄₀ structure it occurs at 1626.04 cm⁻¹, corresponding to a red shift of about 12–13 cm⁻¹.</w:t>
      </w:r>
    </w:p>
    <w:p>
      <w:r>
        <w:t>The free-molecule spectra are similar in their principal peak positions. The COSMO-optimized geometry therefore changes the characteristic Raman frequencies only modestly in comparison with adsorption on silver.</w:t>
      </w:r>
    </w:p>
    <w:p>
      <w:r>
        <w:t>Adsorption on Ag₄₀ causes a pronounced redistribution of relative Raman intensity. In the 500–800 cm⁻¹ region, the Ag-containing calculation shows strong contributions at 578.88, 593.18, 707.82 and 788.75 cm⁻¹ that are much more prominent than in the free-molecule spectra.</w:t>
      </w:r>
    </w:p>
    <w:p>
      <w:r>
        <w:t>A further clear change is seen near 1150 cm⁻¹: 1149.06/1150.67 cm⁻¹ for free MB⁺ versus 1164.85 cm⁻¹ for the flat Ag₄₀ configuration.</w:t>
      </w:r>
    </w:p>
    <w:p>
      <w:r>
        <w:t>The changes are consistent with a substantial perturbation of the molecular vibrational/polarizability response upon interaction with the Ag cluster. They should not, by themselves, be interpreted as a quantitative classical SERS enhancement factor, because the calculation does not establish the experimental electromagnetic enhancement or molecule-number normalization.</w:t>
      </w:r>
    </w:p>
    <w:p>
      <w:pPr>
        <w:pStyle w:val="Heading1"/>
      </w:pPr>
      <w:r>
        <w:t>4. Interpretation for the SERS comparison</w:t>
      </w:r>
    </w:p>
    <w:p>
      <w:r>
        <w:t>The most useful comparison with the experimental SERS spectrum is therefore not the absolute calculated intensity but (i) the positions of characteristic MB⁺ bands, (ii) adsorption-induced frequency shifts, and (iii) changes in the relative intensity pattern. The calculated red shift of the high-frequency band to 1626.04 cm⁻¹ and the strong redistribution in the 500–800 cm⁻¹ region are particularly diagnostic features of the flat MB⁺/Ag₄₀ model.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