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Calibri" w:cs="Calibri" w:eastAsia="Calibri" w:hAnsi="Calibri"/>
          <w:b/>
          <w:bCs/>
          <w:color w:val="1B2A41"/>
          <w:sz w:val="80"/>
          <w:szCs w:val="80"/>
        </w:rPr>
        <w:t xml:space="preserve">WORLD </w:t>
      </w:r>
      <w:r>
        <w:rPr>
          <w:rFonts w:ascii="Calibri" w:cs="Calibri" w:eastAsia="Calibri" w:hAnsi="Calibri"/>
          <w:b/>
          <w:bCs/>
          <w:color w:val="FF6B2B"/>
          <w:sz w:val="80"/>
          <w:szCs w:val="80"/>
        </w:rPr>
        <w:t xml:space="preserve">COMPASS</w:t>
      </w:r>
    </w:p>
    <w:p>
      <w:pPr>
        <w:spacing w:after="600" w:before="0"/>
        <w:jc w:val="center"/>
      </w:pPr>
      <w:r>
        <w:rPr>
          <w:rFonts w:ascii="Calibri" w:cs="Calibri" w:eastAsia="Calibri" w:hAnsi="Calibri"/>
          <w:i/>
          <w:iCs/>
          <w:color w:val="64748B"/>
          <w:sz w:val="24"/>
          <w:szCs w:val="24"/>
        </w:rPr>
        <w:t xml:space="preserve">Plateforme de commerce en ligne — Afrique de l'Ouest</w:t>
      </w:r>
    </w:p>
    <w:tbl>
      <w:tblPr>
        <w:tblW w:type="dxa" w:w="975"/>
        <w:jc w:val="center"/>
        <w:tblBorders>
          <w:top w:val="single" w:color="auto" w:sz="4"/>
          <w:left w:val="single" w:color="auto" w:sz="4"/>
          <w:bottom w:val="single" w:color="auto" w:sz="4"/>
          <w:right w:val="single" w:color="auto" w:sz="4"/>
          <w:insideH w:val="single" w:color="auto" w:sz="4"/>
          <w:insideV w:val="single" w:color="auto" w:sz="4"/>
        </w:tblBorders>
      </w:tblPr>
      <w:tblGrid>
        <w:gridCol w:w="975"/>
      </w:tblGrid>
      <w:tr>
        <w:tc>
          <w:tcPr>
            <w:tcW w:type="dxa" w:w="975"/>
            <w:tcBorders>
              <w:top w:val="none" w:color="FFFFFF" w:sz="0"/>
              <w:left w:val="none" w:color="FFFFFF" w:sz="0"/>
              <w:bottom w:val="none" w:color="FFFFFF" w:sz="0"/>
              <w:right w:val="none" w:color="FFFFFF" w:sz="0"/>
            </w:tcBorders>
            <w:shd w:fill="FF6B2B" w:val="clear"/>
          </w:tcPr>
          <w:p>
            <w:pPr>
              <w:spacing w:after="40" w:before="40"/>
            </w:pPr>
          </w:p>
        </w:tc>
      </w:tr>
    </w:tbl>
    <w:p>
      <w:pPr>
        <w:spacing w:after="0" w:before="600"/>
      </w:pPr>
    </w:p>
    <w:p>
      <w:pPr>
        <w:spacing w:after="120" w:before="0"/>
        <w:jc w:val="center"/>
      </w:pPr>
      <w:r>
        <w:rPr>
          <w:rFonts w:ascii="Calibri" w:cs="Calibri" w:eastAsia="Calibri" w:hAnsi="Calibri"/>
          <w:b/>
          <w:bCs/>
          <w:color w:val="1B2A41"/>
          <w:sz w:val="48"/>
          <w:szCs w:val="48"/>
        </w:rPr>
        <w:t xml:space="preserve">Documentation Technique</w:t>
      </w:r>
    </w:p>
    <w:p>
      <w:pPr>
        <w:spacing w:after="600" w:before="0"/>
        <w:jc w:val="center"/>
      </w:pPr>
      <w:r>
        <w:rPr>
          <w:rFonts w:ascii="Calibri" w:cs="Calibri" w:eastAsia="Calibri" w:hAnsi="Calibri"/>
          <w:color w:val="FF6B2B"/>
          <w:sz w:val="32"/>
          <w:szCs w:val="32"/>
        </w:rPr>
        <w:t xml:space="preserve">Nouvelles Fonctionnalites — Version 2.1</w:t>
      </w:r>
    </w:p>
    <w:p>
      <w:pPr>
        <w:spacing w:after="1600" w:before="0"/>
        <w:jc w:val="center"/>
      </w:pPr>
      <w:r>
        <w:rPr>
          <w:rFonts w:ascii="Calibri" w:cs="Calibri" w:eastAsia="Calibri" w:hAnsi="Calibri"/>
          <w:color w:val="64748B"/>
          <w:sz w:val="22"/>
          <w:szCs w:val="22"/>
        </w:rPr>
        <w:t xml:space="preserve">Ce document presente l'ensemble des fonctionnalites developpees et integrees dans la plateforme World Compass. Il constitue la reference officielle des livraisons.</w:t>
      </w:r>
    </w:p>
    <w:tbl>
      <w:tblPr>
        <w:tblW w:type="dxa" w:w="4873"/>
        <w:jc w:val="center"/>
        <w:tblBorders>
          <w:top w:val="single" w:color="auto" w:sz="4"/>
          <w:left w:val="single" w:color="auto" w:sz="4"/>
          <w:bottom w:val="single" w:color="auto" w:sz="4"/>
          <w:right w:val="single" w:color="auto" w:sz="4"/>
          <w:insideH w:val="single" w:color="auto" w:sz="4"/>
          <w:insideV w:val="single" w:color="auto" w:sz="4"/>
        </w:tblBorders>
      </w:tblPr>
      <w:tblGrid>
        <w:gridCol w:w="1949"/>
        <w:gridCol w:w="2924"/>
      </w:tblGrid>
      <w:tr>
        <w:tc>
          <w:tcPr>
            <w:tcW w:type="dxa" w:w="1949"/>
            <w:tcBorders>
              <w:top w:val="none" w:color="FFFFFF" w:sz="0"/>
              <w:left w:val="none" w:color="FFFFFF" w:sz="0"/>
              <w:bottom w:val="none" w:color="FFFFFF" w:sz="0"/>
              <w:right w:val="none" w:color="FFFFFF" w:sz="0"/>
            </w:tcBorders>
            <w:shd w:fill="F8FAFC" w:val="clear"/>
            <w:tcMar>
              <w:top w:type="dxa" w:w="60"/>
              <w:left w:type="dxa" w:w="120"/>
              <w:bottom w:type="dxa" w:w="60"/>
              <w:right w:type="dxa" w:w="80"/>
            </w:tcMar>
          </w:tcPr>
          <w:p>
            <w:pPr>
              <w:spacing w:after="0" w:before="0"/>
            </w:pPr>
            <w:r>
              <w:rPr>
                <w:rFonts w:ascii="Calibri" w:cs="Calibri" w:eastAsia="Calibri" w:hAnsi="Calibri"/>
                <w:b/>
                <w:bCs/>
                <w:color w:val="64748B"/>
                <w:sz w:val="20"/>
                <w:szCs w:val="20"/>
              </w:rPr>
              <w:t xml:space="preserve">Document prepare par</w:t>
            </w:r>
          </w:p>
        </w:tc>
        <w:tc>
          <w:tcPr>
            <w:tcW w:type="dxa" w:w="2924"/>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Calibri" w:cs="Calibri" w:eastAsia="Calibri" w:hAnsi="Calibri"/>
                <w:color w:val="334155"/>
                <w:sz w:val="20"/>
                <w:szCs w:val="20"/>
              </w:rPr>
              <w:t xml:space="preserve">Equipe Developpement</w:t>
            </w:r>
          </w:p>
        </w:tc>
      </w:tr>
      <w:tr>
        <w:tc>
          <w:tcPr>
            <w:tcW w:type="dxa" w:w="1949"/>
            <w:tcBorders>
              <w:top w:val="none" w:color="FFFFFF" w:sz="0"/>
              <w:left w:val="none" w:color="FFFFFF" w:sz="0"/>
              <w:bottom w:val="none" w:color="FFFFFF" w:sz="0"/>
              <w:right w:val="none" w:color="FFFFFF" w:sz="0"/>
            </w:tcBorders>
            <w:shd w:fill="F8FAFC" w:val="clear"/>
            <w:tcMar>
              <w:top w:type="dxa" w:w="60"/>
              <w:left w:type="dxa" w:w="120"/>
              <w:bottom w:type="dxa" w:w="60"/>
              <w:right w:type="dxa" w:w="80"/>
            </w:tcMar>
          </w:tcPr>
          <w:p>
            <w:pPr>
              <w:spacing w:after="0" w:before="0"/>
            </w:pPr>
            <w:r>
              <w:rPr>
                <w:rFonts w:ascii="Calibri" w:cs="Calibri" w:eastAsia="Calibri" w:hAnsi="Calibri"/>
                <w:b/>
                <w:bCs/>
                <w:color w:val="64748B"/>
                <w:sz w:val="20"/>
                <w:szCs w:val="20"/>
              </w:rPr>
              <w:t xml:space="preserve">Date</w:t>
            </w:r>
          </w:p>
        </w:tc>
        <w:tc>
          <w:tcPr>
            <w:tcW w:type="dxa" w:w="2924"/>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Calibri" w:cs="Calibri" w:eastAsia="Calibri" w:hAnsi="Calibri"/>
                <w:color w:val="334155"/>
                <w:sz w:val="20"/>
                <w:szCs w:val="20"/>
              </w:rPr>
              <w:t xml:space="preserve">Avril 2026</w:t>
            </w:r>
          </w:p>
        </w:tc>
      </w:tr>
      <w:tr>
        <w:tc>
          <w:tcPr>
            <w:tcW w:type="dxa" w:w="1949"/>
            <w:tcBorders>
              <w:top w:val="none" w:color="FFFFFF" w:sz="0"/>
              <w:left w:val="none" w:color="FFFFFF" w:sz="0"/>
              <w:bottom w:val="none" w:color="FFFFFF" w:sz="0"/>
              <w:right w:val="none" w:color="FFFFFF" w:sz="0"/>
            </w:tcBorders>
            <w:shd w:fill="F8FAFC" w:val="clear"/>
            <w:tcMar>
              <w:top w:type="dxa" w:w="60"/>
              <w:left w:type="dxa" w:w="120"/>
              <w:bottom w:type="dxa" w:w="60"/>
              <w:right w:type="dxa" w:w="80"/>
            </w:tcMar>
          </w:tcPr>
          <w:p>
            <w:pPr>
              <w:spacing w:after="0" w:before="0"/>
            </w:pPr>
            <w:r>
              <w:rPr>
                <w:rFonts w:ascii="Calibri" w:cs="Calibri" w:eastAsia="Calibri" w:hAnsi="Calibri"/>
                <w:b/>
                <w:bCs/>
                <w:color w:val="64748B"/>
                <w:sz w:val="20"/>
                <w:szCs w:val="20"/>
              </w:rPr>
              <w:t xml:space="preserve">Version</w:t>
            </w:r>
          </w:p>
        </w:tc>
        <w:tc>
          <w:tcPr>
            <w:tcW w:type="dxa" w:w="2924"/>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Calibri" w:cs="Calibri" w:eastAsia="Calibri" w:hAnsi="Calibri"/>
                <w:color w:val="334155"/>
                <w:sz w:val="20"/>
                <w:szCs w:val="20"/>
              </w:rPr>
              <w:t xml:space="preserve">2.1 — Types de comptes &amp; Commission plateforme</w:t>
            </w:r>
          </w:p>
        </w:tc>
      </w:tr>
      <w:tr>
        <w:tc>
          <w:tcPr>
            <w:tcW w:type="dxa" w:w="1949"/>
            <w:tcBorders>
              <w:top w:val="none" w:color="FFFFFF" w:sz="0"/>
              <w:left w:val="none" w:color="FFFFFF" w:sz="0"/>
              <w:bottom w:val="none" w:color="FFFFFF" w:sz="0"/>
              <w:right w:val="none" w:color="FFFFFF" w:sz="0"/>
            </w:tcBorders>
            <w:shd w:fill="F8FAFC" w:val="clear"/>
            <w:tcMar>
              <w:top w:type="dxa" w:w="60"/>
              <w:left w:type="dxa" w:w="120"/>
              <w:bottom w:type="dxa" w:w="60"/>
              <w:right w:type="dxa" w:w="80"/>
            </w:tcMar>
          </w:tcPr>
          <w:p>
            <w:pPr>
              <w:spacing w:after="0" w:before="0"/>
            </w:pPr>
            <w:r>
              <w:rPr>
                <w:rFonts w:ascii="Calibri" w:cs="Calibri" w:eastAsia="Calibri" w:hAnsi="Calibri"/>
                <w:b/>
                <w:bCs/>
                <w:color w:val="64748B"/>
                <w:sz w:val="20"/>
                <w:szCs w:val="20"/>
              </w:rPr>
              <w:t xml:space="preserve">Statut</w:t>
            </w:r>
          </w:p>
        </w:tc>
        <w:tc>
          <w:tcPr>
            <w:tcW w:type="dxa" w:w="2924"/>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after="0" w:before="0"/>
            </w:pPr>
            <w:r>
              <w:rPr>
                <w:rFonts w:ascii="Calibri" w:cs="Calibri" w:eastAsia="Calibri" w:hAnsi="Calibri"/>
                <w:color w:val="334155"/>
                <w:sz w:val="20"/>
                <w:szCs w:val="20"/>
              </w:rPr>
              <w:t xml:space="preserve">Livrable final</w:t>
            </w:r>
          </w:p>
        </w:tc>
      </w:tr>
    </w:tbl>
    <w:p>
      <w:pPr>
        <w:spacing w:after="0" w:before="0"/>
      </w:pPr>
      <w:r>
        <w:br w:type="page"/>
      </w:r>
    </w:p>
    <w:p>
      <w:pPr>
        <w:pStyle w:val="Heading1"/>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Resume executif et perimetre des livraisons</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c>
          <w:tcPr>
            <w:tcW w:type="dxa" w:w="2437"/>
            <w:tcBorders>
              <w:top w:val="none" w:color="FFFFFF" w:sz="0"/>
              <w:left w:val="none" w:color="FFFFFF" w:sz="0"/>
              <w:bottom w:val="none" w:color="FFFFFF" w:sz="0"/>
              <w:right w:val="none" w:color="FFFFFF" w:sz="0"/>
            </w:tcBorders>
            <w:shd w:fill="1B2A41" w:val="clear"/>
            <w:tcMar>
              <w:top w:type="dxa" w:w="160"/>
              <w:left w:type="dxa" w:w="120"/>
              <w:bottom w:type="dxa" w:w="160"/>
              <w:right w:type="dxa" w:w="120"/>
            </w:tcMar>
            <w:vAlign w:val="center"/>
          </w:tcPr>
          <w:p>
            <w:pPr>
              <w:spacing w:after="60" w:before="0"/>
              <w:jc w:val="center"/>
            </w:pPr>
            <w:r>
              <w:rPr>
                <w:rFonts w:ascii="Calibri" w:cs="Calibri" w:eastAsia="Calibri" w:hAnsi="Calibri"/>
                <w:b/>
                <w:bCs/>
                <w:color w:val="FF6B2B"/>
                <w:sz w:val="52"/>
                <w:szCs w:val="52"/>
              </w:rPr>
              <w:t xml:space="preserve">8</w:t>
            </w:r>
          </w:p>
          <w:p>
            <w:pPr>
              <w:spacing w:after="0" w:before="0"/>
              <w:jc w:val="center"/>
            </w:pPr>
            <w:r>
              <w:rPr>
                <w:rFonts w:ascii="Calibri" w:cs="Calibri" w:eastAsia="Calibri" w:hAnsi="Calibri"/>
                <w:color w:val="CBD5E1"/>
                <w:sz w:val="18"/>
                <w:szCs w:val="18"/>
              </w:rPr>
              <w:t xml:space="preserve">Fonctionnalites majeures livrees</w:t>
            </w:r>
          </w:p>
        </w:tc>
        <w:tc>
          <w:tcPr>
            <w:tcW w:type="dxa" w:w="2437"/>
            <w:tcBorders>
              <w:top w:val="none" w:color="FFFFFF" w:sz="0"/>
              <w:left w:val="none" w:color="FFFFFF" w:sz="0"/>
              <w:bottom w:val="none" w:color="FFFFFF" w:sz="0"/>
              <w:right w:val="none" w:color="FFFFFF" w:sz="0"/>
            </w:tcBorders>
            <w:shd w:fill="1B2A41" w:val="clear"/>
            <w:tcMar>
              <w:top w:type="dxa" w:w="160"/>
              <w:left w:type="dxa" w:w="120"/>
              <w:bottom w:type="dxa" w:w="160"/>
              <w:right w:type="dxa" w:w="120"/>
            </w:tcMar>
            <w:vAlign w:val="center"/>
          </w:tcPr>
          <w:p>
            <w:pPr>
              <w:spacing w:after="60" w:before="0"/>
              <w:jc w:val="center"/>
            </w:pPr>
            <w:r>
              <w:rPr>
                <w:rFonts w:ascii="Calibri" w:cs="Calibri" w:eastAsia="Calibri" w:hAnsi="Calibri"/>
                <w:b/>
                <w:bCs/>
                <w:color w:val="FF6B2B"/>
                <w:sz w:val="52"/>
                <w:szCs w:val="52"/>
              </w:rPr>
              <w:t xml:space="preserve">10</w:t>
            </w:r>
          </w:p>
          <w:p>
            <w:pPr>
              <w:spacing w:after="0" w:before="0"/>
              <w:jc w:val="center"/>
            </w:pPr>
            <w:r>
              <w:rPr>
                <w:rFonts w:ascii="Calibri" w:cs="Calibri" w:eastAsia="Calibri" w:hAnsi="Calibri"/>
                <w:color w:val="CBD5E1"/>
                <w:sz w:val="18"/>
                <w:szCs w:val="18"/>
              </w:rPr>
              <w:t xml:space="preserve">Nouveaux fichiers PHP</w:t>
            </w:r>
          </w:p>
        </w:tc>
        <w:tc>
          <w:tcPr>
            <w:tcW w:type="dxa" w:w="2437"/>
            <w:tcBorders>
              <w:top w:val="none" w:color="FFFFFF" w:sz="0"/>
              <w:left w:val="none" w:color="FFFFFF" w:sz="0"/>
              <w:bottom w:val="none" w:color="FFFFFF" w:sz="0"/>
              <w:right w:val="none" w:color="FFFFFF" w:sz="0"/>
            </w:tcBorders>
            <w:shd w:fill="1B2A41" w:val="clear"/>
            <w:tcMar>
              <w:top w:type="dxa" w:w="160"/>
              <w:left w:type="dxa" w:w="120"/>
              <w:bottom w:type="dxa" w:w="160"/>
              <w:right w:type="dxa" w:w="120"/>
            </w:tcMar>
            <w:vAlign w:val="center"/>
          </w:tcPr>
          <w:p>
            <w:pPr>
              <w:spacing w:after="60" w:before="0"/>
              <w:jc w:val="center"/>
            </w:pPr>
            <w:r>
              <w:rPr>
                <w:rFonts w:ascii="Calibri" w:cs="Calibri" w:eastAsia="Calibri" w:hAnsi="Calibri"/>
                <w:b/>
                <w:bCs/>
                <w:color w:val="FF6B2B"/>
                <w:sz w:val="52"/>
                <w:szCs w:val="52"/>
              </w:rPr>
              <w:t xml:space="preserve">8</w:t>
            </w:r>
          </w:p>
          <w:p>
            <w:pPr>
              <w:spacing w:after="0" w:before="0"/>
              <w:jc w:val="center"/>
            </w:pPr>
            <w:r>
              <w:rPr>
                <w:rFonts w:ascii="Calibri" w:cs="Calibri" w:eastAsia="Calibri" w:hAnsi="Calibri"/>
                <w:color w:val="CBD5E1"/>
                <w:sz w:val="18"/>
                <w:szCs w:val="18"/>
              </w:rPr>
              <w:t xml:space="preserve">Fichiers existants ameliores</w:t>
            </w:r>
          </w:p>
        </w:tc>
        <w:tc>
          <w:tcPr>
            <w:tcW w:type="dxa" w:w="2437"/>
            <w:tcBorders>
              <w:top w:val="none" w:color="FFFFFF" w:sz="0"/>
              <w:left w:val="none" w:color="FFFFFF" w:sz="0"/>
              <w:bottom w:val="none" w:color="FFFFFF" w:sz="0"/>
              <w:right w:val="none" w:color="FFFFFF" w:sz="0"/>
            </w:tcBorders>
            <w:shd w:fill="1B2A41" w:val="clear"/>
            <w:tcMar>
              <w:top w:type="dxa" w:w="160"/>
              <w:left w:type="dxa" w:w="120"/>
              <w:bottom w:type="dxa" w:w="160"/>
              <w:right w:type="dxa" w:w="120"/>
            </w:tcMar>
            <w:vAlign w:val="center"/>
          </w:tcPr>
          <w:p>
            <w:pPr>
              <w:spacing w:after="60" w:before="0"/>
              <w:jc w:val="center"/>
            </w:pPr>
            <w:r>
              <w:rPr>
                <w:rFonts w:ascii="Calibri" w:cs="Calibri" w:eastAsia="Calibri" w:hAnsi="Calibri"/>
                <w:b/>
                <w:bCs/>
                <w:color w:val="FF6B2B"/>
                <w:sz w:val="52"/>
                <w:szCs w:val="52"/>
              </w:rPr>
              <w:t xml:space="preserve">7</w:t>
            </w:r>
          </w:p>
          <w:p>
            <w:pPr>
              <w:spacing w:after="0" w:before="0"/>
              <w:jc w:val="center"/>
            </w:pPr>
            <w:r>
              <w:rPr>
                <w:rFonts w:ascii="Calibri" w:cs="Calibri" w:eastAsia="Calibri" w:hAnsi="Calibri"/>
                <w:color w:val="CBD5E1"/>
                <w:sz w:val="18"/>
                <w:szCs w:val="18"/>
              </w:rPr>
              <w:t xml:space="preserve">Nouvelles tables / entrees SQL</w:t>
            </w:r>
          </w:p>
        </w:tc>
      </w:tr>
    </w:tbl>
    <w:p>
      <w:pPr>
        <w:spacing w:after="100" w:before="0"/>
      </w:pPr>
    </w:p>
    <w:p>
      <w:pPr>
        <w:spacing w:after="120" w:before="40"/>
        <w:jc w:val="both"/>
      </w:pPr>
      <w:r>
        <w:rPr>
          <w:rFonts w:ascii="Calibri" w:cs="Calibri" w:eastAsia="Calibri" w:hAnsi="Calibri"/>
          <w:i w:val="false"/>
          <w:iCs w:val="false"/>
          <w:color w:val="334155"/>
          <w:sz w:val="22"/>
          <w:szCs w:val="22"/>
        </w:rPr>
        <w:t xml:space="preserve">Cette version 2.1 de World Compass transforme la plateforme d'une boutique en ligne classique en une marketplace multi-vendeurs complete, dotee de mecanismes de fidelisation des acheteurs, d'outils promotionnels avances et d'un systeme de revenus plateforme entierement configurable. Les developpements livres couvrent l'integralite du parcours vendeur, la segmentation des comptes vendeurs, les ventes flash en temps reel, un programme de points de fidelite entierement operationnel et une commission plateforme activable/desactivable.</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Perimetre des livraisons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1364"/>
        <w:gridCol w:w="5653"/>
      </w:tblGrid>
      <w:tr>
        <w:trPr>
          <w:tblHeader/>
        </w:trPr>
        <w:tc>
          <w:tcPr>
            <w:tcW w:type="dxa" w:w="2729"/>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Module</w:t>
            </w:r>
          </w:p>
        </w:tc>
        <w:tc>
          <w:tcPr>
            <w:tcW w:type="dxa" w:w="1364"/>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Statut</w:t>
            </w:r>
          </w:p>
        </w:tc>
        <w:tc>
          <w:tcPr>
            <w:tcW w:type="dxa" w:w="565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Portail vendeur</w:t>
            </w:r>
          </w:p>
        </w:tc>
        <w:tc>
          <w:tcPr>
            <w:tcW w:type="dxa" w:w="136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Nouveau</w:t>
            </w:r>
          </w:p>
        </w:tc>
        <w:tc>
          <w:tcPr>
            <w:tcW w:type="dxa" w:w="56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Inscription, tableau de bord, gestion produits et commissions</w:t>
            </w:r>
          </w:p>
        </w:tc>
      </w:tr>
      <w:tr>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Types de comptes vendeur</w:t>
            </w:r>
          </w:p>
        </w:tc>
        <w:tc>
          <w:tcPr>
            <w:tcW w:type="dxa" w:w="136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Nouveau</w:t>
            </w:r>
          </w:p>
        </w:tc>
        <w:tc>
          <w:tcPr>
            <w:tcW w:type="dxa" w:w="565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Subdivision Compte Individuel / Compte Entreprise avec frais d'ouverture differencies et configurables</w:t>
            </w:r>
          </w:p>
        </w:tc>
      </w:tr>
      <w:tr>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Commission plateforme</w:t>
            </w:r>
          </w:p>
        </w:tc>
        <w:tc>
          <w:tcPr>
            <w:tcW w:type="dxa" w:w="136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Nouveau</w:t>
            </w:r>
          </w:p>
        </w:tc>
        <w:tc>
          <w:tcPr>
            <w:tcW w:type="dxa" w:w="56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Taux configurable preleve par World Compass sur chaque vente vendeur, activable/desactivable</w:t>
            </w:r>
          </w:p>
        </w:tc>
      </w:tr>
      <w:tr>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Ventes flash</w:t>
            </w:r>
          </w:p>
        </w:tc>
        <w:tc>
          <w:tcPr>
            <w:tcW w:type="dxa" w:w="136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Nouveau</w:t>
            </w:r>
          </w:p>
        </w:tc>
        <w:tc>
          <w:tcPr>
            <w:tcW w:type="dxa" w:w="565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Page dediee, countdown en temps reel, badges sur les produits concernes</w:t>
            </w:r>
          </w:p>
        </w:tc>
      </w:tr>
      <w:tr>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Programme de fidelite</w:t>
            </w:r>
          </w:p>
        </w:tc>
        <w:tc>
          <w:tcPr>
            <w:tcW w:type="dxa" w:w="136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Nouveau</w:t>
            </w:r>
          </w:p>
        </w:tc>
        <w:tc>
          <w:tcPr>
            <w:tcW w:type="dxa" w:w="56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Accumulation de points, historique, reduction applicable a la caisse</w:t>
            </w:r>
          </w:p>
        </w:tc>
      </w:tr>
      <w:tr>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Commissions vendeurs</w:t>
            </w:r>
          </w:p>
        </w:tc>
        <w:tc>
          <w:tcPr>
            <w:tcW w:type="dxa" w:w="136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Nouveau</w:t>
            </w:r>
          </w:p>
        </w:tc>
        <w:tc>
          <w:tcPr>
            <w:tcW w:type="dxa" w:w="565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Calcul automatique et suivi par le vendeur et l'administrateur</w:t>
            </w:r>
          </w:p>
        </w:tc>
      </w:tr>
      <w:tr>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Administration vendeurs</w:t>
            </w:r>
          </w:p>
        </w:tc>
        <w:tc>
          <w:tcPr>
            <w:tcW w:type="dxa" w:w="136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Nouveau</w:t>
            </w:r>
          </w:p>
        </w:tc>
        <w:tc>
          <w:tcPr>
            <w:tcW w:type="dxa" w:w="56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Approbation/rejet des candidatures avec affichage du type de compte et des frais dus</w:t>
            </w:r>
          </w:p>
        </w:tc>
      </w:tr>
      <w:tr>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Caisse (checkout)</w:t>
            </w:r>
          </w:p>
        </w:tc>
        <w:tc>
          <w:tcPr>
            <w:tcW w:type="dxa" w:w="136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Ameliore</w:t>
            </w:r>
          </w:p>
        </w:tc>
        <w:tc>
          <w:tcPr>
            <w:tcW w:type="dxa" w:w="565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Points fidelite, commissions vendeurs et commission plateforme generes automatiquement</w:t>
            </w:r>
          </w:p>
        </w:tc>
      </w:tr>
      <w:tr>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En-tete et navigation</w:t>
            </w:r>
          </w:p>
        </w:tc>
        <w:tc>
          <w:tcPr>
            <w:tcW w:type="dxa" w:w="136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Ameliore</w:t>
            </w:r>
          </w:p>
        </w:tc>
        <w:tc>
          <w:tcPr>
            <w:tcW w:type="dxa" w:w="565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Liens vers Ventes Flash, Vendre, Ma Boutique selon le role utilisateur</w:t>
            </w:r>
          </w:p>
        </w:tc>
      </w:tr>
      <w:tr>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Parametres administrateur</w:t>
            </w:r>
          </w:p>
        </w:tc>
        <w:tc>
          <w:tcPr>
            <w:tcW w:type="dxa" w:w="136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Ameliore</w:t>
            </w:r>
          </w:p>
        </w:tc>
        <w:tc>
          <w:tcPr>
            <w:tcW w:type="dxa" w:w="565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Nouveaux champs : frais d'ouverture Individuel/Entreprise, taux et toggle commission plateforme</w:t>
            </w:r>
          </w:p>
        </w:tc>
      </w:tr>
    </w:tbl>
    <w:p>
      <w:pPr>
        <w:spacing w:after="0" w:before="0"/>
      </w:pPr>
      <w:r>
        <w:br w:type="page"/>
      </w:r>
    </w:p>
    <w:p>
      <w:pPr>
        <w:pStyle w:val="Heading1"/>
        <w:pageBreakBefore/>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1 — Portail vendeur : Inscription et candidature</w:t>
      </w:r>
    </w:p>
    <w:p>
      <w:pPr>
        <w:spacing w:after="40" w:before="0"/>
      </w:pPr>
      <w:r>
        <w:rPr>
          <w:rFonts w:ascii="Calibri" w:cs="Calibri" w:eastAsia="Calibri" w:hAnsi="Calibri"/>
          <w:i/>
          <w:iCs/>
          <w:color w:val="64748B"/>
          <w:sz w:val="20"/>
          <w:szCs w:val="20"/>
        </w:rPr>
        <w:t xml:space="preserve">Fichier : devenir-vendeur.php</w:t>
      </w:r>
    </w:p>
    <w:p>
      <w:pPr>
        <w:spacing w:after="120" w:before="40"/>
        <w:jc w:val="both"/>
      </w:pPr>
      <w:r>
        <w:rPr>
          <w:rFonts w:ascii="Calibri" w:cs="Calibri" w:eastAsia="Calibri" w:hAnsi="Calibri"/>
          <w:i w:val="false"/>
          <w:iCs w:val="false"/>
          <w:color w:val="334155"/>
          <w:sz w:val="22"/>
          <w:szCs w:val="22"/>
        </w:rPr>
        <w:t xml:space="preserve">La page Devenir vendeur permet a tout utilisateur inscrit de soumettre une candidature pour vendre ses produits sur la plateforme World Compass. Elle est accessible depuis la barre de navigation principale via le lien "Vendre". La page est organisee en trois etapes sequentielles : choix du type de compte, informations de la boutique, puis choix du modele logistique.</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Etape 1 — Types de comptes vendeur</w:t>
      </w:r>
    </w:p>
    <w:p>
      <w:pPr>
        <w:spacing w:after="120" w:before="40"/>
        <w:jc w:val="left"/>
      </w:pPr>
      <w:r>
        <w:rPr>
          <w:rFonts w:ascii="Calibri" w:cs="Calibri" w:eastAsia="Calibri" w:hAnsi="Calibri"/>
          <w:i w:val="false"/>
          <w:iCs w:val="false"/>
          <w:color w:val="334155"/>
          <w:sz w:val="22"/>
          <w:szCs w:val="22"/>
        </w:rPr>
        <w:t xml:space="preserve">La premiere etape du formulaire de candidature presente deux types de comptes distincts. Le type de compte determine les frais d'ouverture appliques lors de l'approbation du dossier.</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73"/>
        <w:gridCol w:w="4773"/>
      </w:tblGrid>
      <w:tr>
        <w:tc>
          <w:tcPr>
            <w:tcW w:type="dxa" w:w="4773"/>
            <w:tcBorders>
              <w:top w:val="single" w:color="CBD5E1" w:sz="1"/>
              <w:left w:val="single" w:color="CBD5E1" w:sz="1"/>
              <w:bottom w:val="single" w:color="CBD5E1" w:sz="1"/>
              <w:right w:val="single" w:color="CBD5E1" w:sz="1"/>
            </w:tcBorders>
            <w:shd w:fill="DBEAFE" w:val="clear"/>
            <w:tcMar>
              <w:top w:type="dxa" w:w="160"/>
              <w:left w:type="dxa" w:w="200"/>
              <w:bottom w:type="dxa" w:w="160"/>
              <w:right w:type="dxa" w:w="200"/>
            </w:tcMar>
          </w:tcPr>
          <w:p>
            <w:pPr>
              <w:spacing w:after="80" w:before="0"/>
            </w:pPr>
            <w:r>
              <w:rPr>
                <w:rFonts w:ascii="Calibri" w:cs="Calibri" w:eastAsia="Calibri" w:hAnsi="Calibri"/>
                <w:b/>
                <w:bCs/>
                <w:color w:val="1E40AF"/>
                <w:sz w:val="24"/>
                <w:szCs w:val="24"/>
              </w:rPr>
              <w:t xml:space="preserve">Compte Individuel</w:t>
            </w:r>
          </w:p>
          <w:p>
            <w:pPr>
              <w:spacing w:after="80" w:before="0"/>
            </w:pPr>
            <w:r>
              <w:rPr>
                <w:rFonts w:ascii="Calibri" w:cs="Calibri" w:eastAsia="Calibri" w:hAnsi="Calibri"/>
                <w:color w:val="1E40AF"/>
                <w:sz w:val="21"/>
                <w:szCs w:val="21"/>
              </w:rPr>
              <w:t xml:space="preserve">Destine aux particuliers, auto-entrepreneurs et micro-vendeurs. Permet de demarrer rapidement avec un abonnement accessible. Limite a 50 produits actifs.</w:t>
            </w:r>
          </w:p>
          <w:p>
            <w:pPr>
              <w:spacing w:after="0" w:before="0"/>
            </w:pPr>
            <w:r>
              <w:rPr>
                <w:rFonts w:ascii="Calibri" w:cs="Calibri" w:eastAsia="Calibri" w:hAnsi="Calibri"/>
                <w:b/>
                <w:bCs/>
                <w:color w:val="1B2A41"/>
                <w:sz w:val="22"/>
                <w:szCs w:val="22"/>
              </w:rPr>
              <w:t xml:space="preserve">Frais d'ouverture : 5 000 FCFA (configurable)</w:t>
            </w:r>
          </w:p>
        </w:tc>
        <w:tc>
          <w:tcPr>
            <w:tcW w:type="dxa" w:w="4773"/>
            <w:tcBorders>
              <w:top w:val="single" w:color="CBD5E1" w:sz="1"/>
              <w:left w:val="single" w:color="CBD5E1" w:sz="1"/>
              <w:bottom w:val="single" w:color="CBD5E1" w:sz="1"/>
              <w:right w:val="single" w:color="CBD5E1" w:sz="1"/>
            </w:tcBorders>
            <w:shd w:fill="EDE9FE" w:val="clear"/>
            <w:tcMar>
              <w:top w:type="dxa" w:w="160"/>
              <w:left w:type="dxa" w:w="200"/>
              <w:bottom w:type="dxa" w:w="160"/>
              <w:right w:type="dxa" w:w="200"/>
            </w:tcMar>
          </w:tcPr>
          <w:p>
            <w:pPr>
              <w:spacing w:after="80" w:before="0"/>
            </w:pPr>
            <w:r>
              <w:rPr>
                <w:rFonts w:ascii="Calibri" w:cs="Calibri" w:eastAsia="Calibri" w:hAnsi="Calibri"/>
                <w:b/>
                <w:bCs/>
                <w:color w:val="5B21B6"/>
                <w:sz w:val="24"/>
                <w:szCs w:val="24"/>
              </w:rPr>
              <w:t xml:space="preserve">Compte Entreprise</w:t>
            </w:r>
          </w:p>
          <w:p>
            <w:pPr>
              <w:spacing w:after="80" w:before="0"/>
            </w:pPr>
            <w:r>
              <w:rPr>
                <w:rFonts w:ascii="Calibri" w:cs="Calibri" w:eastAsia="Calibri" w:hAnsi="Calibri"/>
                <w:color w:val="5B21B6"/>
                <w:sz w:val="21"/>
                <w:szCs w:val="21"/>
              </w:rPr>
              <w:t xml:space="preserve">Destine aux societes, PME et marques. Acces a toutes les fonctionnalites avancees : produits illimites, analyses completes, badge Vendeur certifie, support prioritaire.</w:t>
            </w:r>
          </w:p>
          <w:p>
            <w:pPr>
              <w:spacing w:after="0" w:before="0"/>
            </w:pPr>
            <w:r>
              <w:rPr>
                <w:rFonts w:ascii="Calibri" w:cs="Calibri" w:eastAsia="Calibri" w:hAnsi="Calibri"/>
                <w:b/>
                <w:bCs/>
                <w:color w:val="5B21B6"/>
                <w:sz w:val="22"/>
                <w:szCs w:val="22"/>
              </w:rPr>
              <w:t xml:space="preserve">Frais d'ouverture : 20 000 FCFA (configurable)</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9356"/>
      </w:tblGrid>
      <w:tr>
        <w:tc>
          <w:tcPr>
            <w:tcW w:type="dxa" w:w="390"/>
            <w:tcBorders>
              <w:top w:val="none" w:color="FFFFFF" w:sz="0"/>
              <w:left w:val="none" w:color="FFFFFF" w:sz="0"/>
              <w:bottom w:val="none" w:color="FFFFFF" w:sz="0"/>
              <w:right w:val="none" w:color="FFFFFF" w:sz="0"/>
            </w:tcBorders>
            <w:shd w:fill="FF6B2B" w:val="clear"/>
          </w:tcPr>
          <w:p>
            <w:pPr>
              <w:spacing w:after="120" w:before="0"/>
              <w:jc w:val="left"/>
            </w:pPr>
          </w:p>
        </w:tc>
        <w:tc>
          <w:tcPr>
            <w:tcW w:type="dxa" w:w="935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80" w:before="0"/>
            </w:pPr>
            <w:r>
              <w:rPr>
                <w:rFonts w:ascii="Calibri" w:cs="Calibri" w:eastAsia="Calibri" w:hAnsi="Calibri"/>
                <w:b/>
                <w:bCs/>
                <w:color w:val="1E40AF"/>
                <w:sz w:val="22"/>
                <w:szCs w:val="22"/>
              </w:rPr>
              <w:t xml:space="preserve">Frais configurables par l'administrateur</w:t>
            </w:r>
          </w:p>
          <w:p>
            <w:pPr>
              <w:spacing w:after="0" w:before="0"/>
            </w:pPr>
            <w:r>
              <w:rPr>
                <w:rFonts w:ascii="Calibri" w:cs="Calibri" w:eastAsia="Calibri" w:hAnsi="Calibri"/>
                <w:color w:val="1E40AF"/>
                <w:sz w:val="21"/>
                <w:szCs w:val="21"/>
              </w:rPr>
              <w:t xml:space="preserve">Les montants des frais d'ouverture (Compte Individuel et Compte Entreprise) sont entierement configurables depuis la page Parametres de l'administration, sans modifier le code. La mise a jour prend effet instantanement sur le formulaire de candidature.</w:t>
            </w:r>
          </w:p>
        </w:tc>
      </w:tr>
    </w:tbl>
    <w:p>
      <w:pPr>
        <w:spacing w:after="100" w:before="0"/>
      </w:pPr>
    </w:p>
    <w:p>
      <w:pPr>
        <w:pStyle w:val="Heading2"/>
        <w:pBdr>
          <w:left w:val="single" w:color="FF6B2B" w:sz="16"/>
        </w:pBdr>
        <w:spacing w:after="100" w:before="280"/>
        <w:ind w:left="200"/>
      </w:pPr>
      <w:r>
        <w:rPr>
          <w:rFonts w:ascii="Calibri" w:cs="Calibri" w:eastAsia="Calibri" w:hAnsi="Calibri"/>
          <w:b/>
          <w:bCs/>
          <w:color w:val="1B2A41"/>
          <w:sz w:val="26"/>
          <w:szCs w:val="26"/>
        </w:rPr>
        <w:t xml:space="preserve">Etape 2 — Informations boutique</w:t>
      </w:r>
    </w:p>
    <w:p>
      <w:pPr>
        <w:spacing w:after="120" w:before="40"/>
        <w:jc w:val="left"/>
      </w:pPr>
      <w:r>
        <w:rPr>
          <w:rFonts w:ascii="Calibri" w:cs="Calibri" w:eastAsia="Calibri" w:hAnsi="Calibri"/>
          <w:i w:val="false"/>
          <w:iCs w:val="false"/>
          <w:color w:val="334155"/>
          <w:sz w:val="22"/>
          <w:szCs w:val="22"/>
        </w:rPr>
        <w:t xml:space="preserve">Le vendeur renseigne le nom de sa boutique et une description de son activite (minimum 30 caracteres). Ces informations sont enregistrees dans la demande et reportees automatiquement sur le profil lors de l'approbation.</w:t>
      </w:r>
    </w:p>
    <w:p>
      <w:pPr>
        <w:spacing w:after="100" w:before="0"/>
      </w:pPr>
    </w:p>
    <w:p>
      <w:pPr>
        <w:pStyle w:val="Heading2"/>
        <w:pBdr>
          <w:left w:val="single" w:color="FF6B2B" w:sz="16"/>
        </w:pBdr>
        <w:spacing w:after="100" w:before="280"/>
        <w:ind w:left="200"/>
      </w:pPr>
      <w:r>
        <w:rPr>
          <w:rFonts w:ascii="Calibri" w:cs="Calibri" w:eastAsia="Calibri" w:hAnsi="Calibri"/>
          <w:b/>
          <w:bCs/>
          <w:color w:val="1B2A41"/>
          <w:sz w:val="26"/>
          <w:szCs w:val="26"/>
        </w:rPr>
        <w:t xml:space="preserve">Etape 3 — Modele de vente</w:t>
      </w:r>
    </w:p>
    <w:p>
      <w:pPr>
        <w:spacing w:after="120" w:before="40"/>
        <w:jc w:val="left"/>
      </w:pPr>
      <w:r>
        <w:rPr>
          <w:rFonts w:ascii="Calibri" w:cs="Calibri" w:eastAsia="Calibri" w:hAnsi="Calibri"/>
          <w:i w:val="false"/>
          <w:iCs w:val="false"/>
          <w:color w:val="334155"/>
          <w:sz w:val="22"/>
          <w:szCs w:val="22"/>
        </w:rPr>
        <w:t xml:space="preserve">Independamment du type de compte, le vendeur choisit son modele logistique :</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73"/>
        <w:gridCol w:w="4773"/>
      </w:tblGrid>
      <w:tr>
        <w:tc>
          <w:tcPr>
            <w:tcW w:type="dxa" w:w="4773"/>
            <w:tcBorders>
              <w:top w:val="single" w:color="CBD5E1" w:sz="1"/>
              <w:left w:val="single" w:color="CBD5E1" w:sz="1"/>
              <w:bottom w:val="single" w:color="CBD5E1" w:sz="1"/>
              <w:right w:val="single" w:color="CBD5E1" w:sz="1"/>
            </w:tcBorders>
            <w:shd w:fill="DBEAFE" w:val="clear"/>
            <w:tcMar>
              <w:top w:type="dxa" w:w="160"/>
              <w:left w:type="dxa" w:w="200"/>
              <w:bottom w:type="dxa" w:w="160"/>
              <w:right w:type="dxa" w:w="200"/>
            </w:tcMar>
          </w:tcPr>
          <w:p>
            <w:pPr>
              <w:spacing w:after="80" w:before="0"/>
            </w:pPr>
            <w:r>
              <w:rPr>
                <w:rFonts w:ascii="Calibri" w:cs="Calibri" w:eastAsia="Calibri" w:hAnsi="Calibri"/>
                <w:b/>
                <w:bCs/>
                <w:color w:val="1E40AF"/>
                <w:sz w:val="24"/>
                <w:szCs w:val="24"/>
              </w:rPr>
              <w:t xml:space="preserve">Plateforme geree</w:t>
            </w:r>
          </w:p>
          <w:p>
            <w:pPr>
              <w:spacing w:after="80" w:before="0"/>
            </w:pPr>
            <w:r>
              <w:rPr>
                <w:rFonts w:ascii="Calibri" w:cs="Calibri" w:eastAsia="Calibri" w:hAnsi="Calibri"/>
                <w:color w:val="1E40AF"/>
                <w:sz w:val="21"/>
                <w:szCs w:val="21"/>
              </w:rPr>
              <w:t xml:space="preserve">World Compass prend en charge le stockage et l'expedition des produits. Ideal pour les vendeurs debutants ou souhaitant externaliser la logistique.</w:t>
            </w:r>
          </w:p>
          <w:p>
            <w:pPr>
              <w:spacing w:after="0" w:before="0"/>
            </w:pPr>
            <w:r>
              <w:rPr>
                <w:rFonts w:ascii="Calibri" w:cs="Calibri" w:eastAsia="Calibri" w:hAnsi="Calibri"/>
                <w:b/>
                <w:bCs/>
                <w:color w:val="1B2A41"/>
                <w:sz w:val="22"/>
                <w:szCs w:val="22"/>
              </w:rPr>
              <w:t xml:space="preserve">Commission vendeur : 12% par vente</w:t>
            </w:r>
          </w:p>
        </w:tc>
        <w:tc>
          <w:tcPr>
            <w:tcW w:type="dxa" w:w="4773"/>
            <w:tcBorders>
              <w:top w:val="single" w:color="CBD5E1" w:sz="1"/>
              <w:left w:val="single" w:color="CBD5E1" w:sz="1"/>
              <w:bottom w:val="single" w:color="CBD5E1" w:sz="1"/>
              <w:right w:val="single" w:color="CBD5E1" w:sz="1"/>
            </w:tcBorders>
            <w:shd w:fill="D1FAE5" w:val="clear"/>
            <w:tcMar>
              <w:top w:type="dxa" w:w="160"/>
              <w:left w:type="dxa" w:w="200"/>
              <w:bottom w:type="dxa" w:w="160"/>
              <w:right w:type="dxa" w:w="200"/>
            </w:tcMar>
          </w:tcPr>
          <w:p>
            <w:pPr>
              <w:spacing w:after="80" w:before="0"/>
            </w:pPr>
            <w:r>
              <w:rPr>
                <w:rFonts w:ascii="Calibri" w:cs="Calibri" w:eastAsia="Calibri" w:hAnsi="Calibri"/>
                <w:b/>
                <w:bCs/>
                <w:color w:val="065F46"/>
                <w:sz w:val="24"/>
                <w:szCs w:val="24"/>
              </w:rPr>
              <w:t xml:space="preserve">Vendeur autonome</w:t>
            </w:r>
          </w:p>
          <w:p>
            <w:pPr>
              <w:spacing w:after="80" w:before="0"/>
            </w:pPr>
            <w:r>
              <w:rPr>
                <w:rFonts w:ascii="Calibri" w:cs="Calibri" w:eastAsia="Calibri" w:hAnsi="Calibri"/>
                <w:color w:val="065F46"/>
                <w:sz w:val="21"/>
                <w:szCs w:val="21"/>
              </w:rPr>
              <w:t xml:space="preserve">Le vendeur conserve son propre stock et gere lui-meme les expeditions. Offre une marge preservee et un controle total sur la chaine d'approvisionnement.</w:t>
            </w:r>
          </w:p>
          <w:p>
            <w:pPr>
              <w:spacing w:after="0" w:before="0"/>
            </w:pPr>
            <w:r>
              <w:rPr>
                <w:rFonts w:ascii="Calibri" w:cs="Calibri" w:eastAsia="Calibri" w:hAnsi="Calibri"/>
                <w:b/>
                <w:bCs/>
                <w:color w:val="065F46"/>
                <w:sz w:val="22"/>
                <w:szCs w:val="22"/>
              </w:rPr>
              <w:t xml:space="preserve">Commission vendeur : 6% par vente</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9356"/>
      </w:tblGrid>
      <w:tr>
        <w:tc>
          <w:tcPr>
            <w:tcW w:type="dxa" w:w="390"/>
            <w:tcBorders>
              <w:top w:val="none" w:color="FFFFFF" w:sz="0"/>
              <w:left w:val="none" w:color="FFFFFF" w:sz="0"/>
              <w:bottom w:val="none" w:color="FFFFFF" w:sz="0"/>
              <w:right w:val="none" w:color="FFFFFF" w:sz="0"/>
            </w:tcBorders>
            <w:shd w:fill="FF6B2B" w:val="clear"/>
          </w:tcPr>
          <w:p>
            <w:pPr>
              <w:spacing w:after="120" w:before="0"/>
              <w:jc w:val="left"/>
            </w:pPr>
          </w:p>
        </w:tc>
        <w:tc>
          <w:tcPr>
            <w:tcW w:type="dxa" w:w="935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80" w:before="0"/>
            </w:pPr>
            <w:r>
              <w:rPr>
                <w:rFonts w:ascii="Calibri" w:cs="Calibri" w:eastAsia="Calibri" w:hAnsi="Calibri"/>
                <w:b/>
                <w:bCs/>
                <w:color w:val="1E40AF"/>
                <w:sz w:val="22"/>
                <w:szCs w:val="22"/>
              </w:rPr>
              <w:t xml:space="preserve">Securite technique</w:t>
            </w:r>
          </w:p>
          <w:p>
            <w:pPr>
              <w:spacing w:after="0" w:before="0"/>
            </w:pPr>
            <w:r>
              <w:rPr>
                <w:rFonts w:ascii="Calibri" w:cs="Calibri" w:eastAsia="Calibri" w:hAnsi="Calibri"/>
                <w:color w:val="1E40AF"/>
                <w:sz w:val="21"/>
                <w:szCs w:val="21"/>
              </w:rPr>
              <w:t xml:space="preserve">Le formulaire est protege par un jeton CSRF. Les demandes sont stockees dans la table seller_applications avec le type de compte et le modele de vente. Un utilisateur ne peut soumettre qu'une seule demande active a la fois. Le statut de sa demande est affiche en temps reel sur la page (en attente, approuve, rejete).</w:t>
            </w:r>
          </w:p>
        </w:tc>
      </w:tr>
    </w:tbl>
    <w:p>
      <w:pPr>
        <w:spacing w:after="100" w:before="0"/>
      </w:pPr>
    </w:p>
    <w:p>
      <w:pPr>
        <w:pStyle w:val="Heading2"/>
        <w:pBdr>
          <w:left w:val="single" w:color="FF6B2B" w:sz="16"/>
        </w:pBdr>
        <w:spacing w:after="100" w:before="280"/>
        <w:ind w:left="200"/>
      </w:pPr>
      <w:r>
        <w:rPr>
          <w:rFonts w:ascii="Calibri" w:cs="Calibri" w:eastAsia="Calibri" w:hAnsi="Calibri"/>
          <w:b/>
          <w:bCs/>
          <w:color w:val="1B2A41"/>
          <w:sz w:val="26"/>
          <w:szCs w:val="26"/>
        </w:rPr>
        <w:t xml:space="preserve">Affichage conditionnel selon le statut</w:t>
      </w:r>
    </w:p>
    <w:p>
      <w:pPr>
        <w:pStyle w:val="ListParagraph"/>
        <w:numPr>
          <w:ilvl w:val="0"/>
          <w:numId w:val="2"/>
        </w:numPr>
        <w:spacing w:after="60" w:before="40"/>
      </w:pPr>
      <w:r>
        <w:rPr>
          <w:rFonts w:ascii="Calibri" w:cs="Calibri" w:eastAsia="Calibri" w:hAnsi="Calibri"/>
          <w:color w:val="334155"/>
          <w:sz w:val="22"/>
          <w:szCs w:val="22"/>
        </w:rPr>
        <w:t xml:space="preserve">Demande en attente : bandeau jaune informant l'utilisateur que sa candidature est en cours d'examen.</w:t>
      </w:r>
    </w:p>
    <w:p>
      <w:pPr>
        <w:pStyle w:val="ListParagraph"/>
        <w:numPr>
          <w:ilvl w:val="0"/>
          <w:numId w:val="2"/>
        </w:numPr>
        <w:spacing w:after="60" w:before="40"/>
      </w:pPr>
      <w:r>
        <w:rPr>
          <w:rFonts w:ascii="Calibri" w:cs="Calibri" w:eastAsia="Calibri" w:hAnsi="Calibri"/>
          <w:color w:val="334155"/>
          <w:sz w:val="22"/>
          <w:szCs w:val="22"/>
        </w:rPr>
        <w:t xml:space="preserve">Demande approuvee : bandeau vert avec lien direct vers l'espace vendeur.</w:t>
      </w:r>
    </w:p>
    <w:p>
      <w:pPr>
        <w:pStyle w:val="ListParagraph"/>
        <w:numPr>
          <w:ilvl w:val="0"/>
          <w:numId w:val="2"/>
        </w:numPr>
        <w:spacing w:after="60" w:before="40"/>
      </w:pPr>
      <w:r>
        <w:rPr>
          <w:rFonts w:ascii="Calibri" w:cs="Calibri" w:eastAsia="Calibri" w:hAnsi="Calibri"/>
          <w:color w:val="334155"/>
          <w:sz w:val="22"/>
          <w:szCs w:val="22"/>
        </w:rPr>
        <w:t xml:space="preserve">Demande rejetee : bandeau rouge avec la note de l'administrateur.</w:t>
      </w:r>
    </w:p>
    <w:p>
      <w:pPr>
        <w:pStyle w:val="ListParagraph"/>
        <w:numPr>
          <w:ilvl w:val="0"/>
          <w:numId w:val="2"/>
        </w:numPr>
        <w:spacing w:after="60" w:before="40"/>
      </w:pPr>
      <w:r>
        <w:rPr>
          <w:rFonts w:ascii="Calibri" w:cs="Calibri" w:eastAsia="Calibri" w:hAnsi="Calibri"/>
          <w:color w:val="334155"/>
          <w:sz w:val="22"/>
          <w:szCs w:val="22"/>
        </w:rPr>
        <w:t xml:space="preserve">Utilisateur deja vendeur : redirection automatique vers le tableau de bord vendeur.</w:t>
      </w:r>
    </w:p>
    <w:p>
      <w:pPr>
        <w:spacing w:after="0" w:before="0"/>
      </w:pPr>
      <w:r>
        <w:br w:type="page"/>
      </w:r>
    </w:p>
    <w:p>
      <w:pPr>
        <w:pStyle w:val="Heading1"/>
        <w:pageBreakBefore/>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2 — Tableau de bord vendeur</w:t>
      </w:r>
    </w:p>
    <w:p>
      <w:pPr>
        <w:spacing w:after="40" w:before="0"/>
      </w:pPr>
      <w:r>
        <w:rPr>
          <w:rFonts w:ascii="Calibri" w:cs="Calibri" w:eastAsia="Calibri" w:hAnsi="Calibri"/>
          <w:i/>
          <w:iCs/>
          <w:color w:val="64748B"/>
          <w:sz w:val="20"/>
          <w:szCs w:val="20"/>
        </w:rPr>
        <w:t xml:space="preserve">Fichier : seller/index.php</w:t>
      </w:r>
    </w:p>
    <w:p>
      <w:pPr>
        <w:spacing w:after="120" w:before="40"/>
        <w:jc w:val="both"/>
      </w:pPr>
      <w:r>
        <w:rPr>
          <w:rFonts w:ascii="Calibri" w:cs="Calibri" w:eastAsia="Calibri" w:hAnsi="Calibri"/>
          <w:i w:val="false"/>
          <w:iCs w:val="false"/>
          <w:color w:val="334155"/>
          <w:sz w:val="22"/>
          <w:szCs w:val="22"/>
        </w:rPr>
        <w:t xml:space="preserve">L'espace vendeur est accessible via le menu principal ("Ma Boutique") pour tout utilisateur possedant le role vendeur ou administrateur. Il dispose d'une barre de navigation laterale propre, independante de l'interface d'administration generale.</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Indicateurs affiches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Indicateur</w:t>
            </w:r>
          </w:p>
        </w:tc>
        <w:tc>
          <w:tcPr>
            <w:tcW w:type="dxa" w:w="487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487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87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487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87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487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87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487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87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spacing w:after="120" w:before="40"/>
        <w:jc w:val="left"/>
      </w:pPr>
      <w:r>
        <w:rPr>
          <w:rFonts w:ascii="Calibri" w:cs="Calibri" w:eastAsia="Calibri" w:hAnsi="Calibri"/>
          <w:i w:val="false"/>
          <w:iCs w:val="false"/>
          <w:color w:val="334155"/>
          <w:sz w:val="22"/>
          <w:szCs w:val="22"/>
        </w:rPr>
        <w:t xml:space="preserve">Le tableau de bord affiche egalement un apercu des 8 commandes les plus recentes et un resume des 6 premiers produits avec leur niveau de stock. Un avertissement "Stock faible" est affiche si un produit descend en dessous de 5 unites.</w:t>
      </w:r>
    </w:p>
    <w:p>
      <w:pPr>
        <w:spacing w:after="100" w:before="0"/>
      </w:pPr>
    </w:p>
    <w:p>
      <w:pPr>
        <w:pStyle w:val="Heading1"/>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3 — Gestion des produits par le vendeur</w:t>
      </w:r>
    </w:p>
    <w:p>
      <w:pPr>
        <w:spacing w:after="40" w:before="0"/>
      </w:pPr>
      <w:r>
        <w:rPr>
          <w:rFonts w:ascii="Calibri" w:cs="Calibri" w:eastAsia="Calibri" w:hAnsi="Calibri"/>
          <w:i/>
          <w:iCs/>
          <w:color w:val="64748B"/>
          <w:sz w:val="20"/>
          <w:szCs w:val="20"/>
        </w:rPr>
        <w:t xml:space="preserve">Fichier : seller/products.php</w:t>
      </w:r>
    </w:p>
    <w:p>
      <w:pPr>
        <w:spacing w:after="120" w:before="40"/>
        <w:jc w:val="both"/>
      </w:pPr>
      <w:r>
        <w:rPr>
          <w:rFonts w:ascii="Calibri" w:cs="Calibri" w:eastAsia="Calibri" w:hAnsi="Calibri"/>
          <w:i w:val="false"/>
          <w:iCs w:val="false"/>
          <w:color w:val="334155"/>
          <w:sz w:val="22"/>
          <w:szCs w:val="22"/>
        </w:rPr>
        <w:t xml:space="preserve">Chaque vendeur dispose d'une interface complete de gestion de ses propres produits. Seuls les produits lui appartenant sont visibles et modifiables. Il n'a aucun acces aux produits des autres vendeurs.</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Fonctionnalites disponibles</w:t>
      </w:r>
    </w:p>
    <w:p>
      <w:pPr>
        <w:pStyle w:val="ListParagraph"/>
        <w:numPr>
          <w:ilvl w:val="0"/>
          <w:numId w:val="2"/>
        </w:numPr>
        <w:spacing w:after="60" w:before="40"/>
      </w:pPr>
      <w:r>
        <w:rPr>
          <w:rFonts w:ascii="Calibri" w:cs="Calibri" w:eastAsia="Calibri" w:hAnsi="Calibri"/>
          <w:color w:val="334155"/>
          <w:sz w:val="22"/>
          <w:szCs w:val="22"/>
        </w:rPr>
        <w:t xml:space="preserve">Ajout de produit : formulaire complet avec nom, description, prix, ancien prix barre, stock, categorie, couleur de fond et upload de photo.</w:t>
      </w:r>
    </w:p>
    <w:p>
      <w:pPr>
        <w:pStyle w:val="ListParagraph"/>
        <w:numPr>
          <w:ilvl w:val="0"/>
          <w:numId w:val="2"/>
        </w:numPr>
        <w:spacing w:after="60" w:before="40"/>
      </w:pPr>
      <w:r>
        <w:rPr>
          <w:rFonts w:ascii="Calibri" w:cs="Calibri" w:eastAsia="Calibri" w:hAnsi="Calibri"/>
          <w:color w:val="334155"/>
          <w:sz w:val="22"/>
          <w:szCs w:val="22"/>
        </w:rPr>
        <w:t xml:space="preserve">Upload de photo : zone de depot avec glisser-deposer ou selection depuis l'explorateur. Formats acceptes : JPG, PNG, WebP. Taille maximale : 5 Mo. Apercu en temps reel avant soumission.</w:t>
      </w:r>
    </w:p>
    <w:p>
      <w:pPr>
        <w:pStyle w:val="ListParagraph"/>
        <w:numPr>
          <w:ilvl w:val="0"/>
          <w:numId w:val="2"/>
        </w:numPr>
        <w:spacing w:after="60" w:before="40"/>
      </w:pPr>
      <w:r>
        <w:rPr>
          <w:rFonts w:ascii="Calibri" w:cs="Calibri" w:eastAsia="Calibri" w:hAnsi="Calibri"/>
          <w:color w:val="334155"/>
          <w:sz w:val="22"/>
          <w:szCs w:val="22"/>
        </w:rPr>
        <w:t xml:space="preserve">Modification : tous les champs sont modifiables. L'image actuelle est conservee si aucune nouvelle image n'est fournie.</w:t>
      </w:r>
    </w:p>
    <w:p>
      <w:pPr>
        <w:pStyle w:val="ListParagraph"/>
        <w:numPr>
          <w:ilvl w:val="0"/>
          <w:numId w:val="2"/>
        </w:numPr>
        <w:spacing w:after="60" w:before="40"/>
      </w:pPr>
      <w:r>
        <w:rPr>
          <w:rFonts w:ascii="Calibri" w:cs="Calibri" w:eastAsia="Calibri" w:hAnsi="Calibri"/>
          <w:color w:val="334155"/>
          <w:sz w:val="22"/>
          <w:szCs w:val="22"/>
        </w:rPr>
        <w:t xml:space="preserve">Suppression : suppression definitive du produit apres confirmation.</w:t>
      </w:r>
    </w:p>
    <w:p>
      <w:pPr>
        <w:pStyle w:val="ListParagraph"/>
        <w:numPr>
          <w:ilvl w:val="0"/>
          <w:numId w:val="2"/>
        </w:numPr>
        <w:spacing w:after="60" w:before="40"/>
      </w:pPr>
      <w:r>
        <w:rPr>
          <w:rFonts w:ascii="Calibri" w:cs="Calibri" w:eastAsia="Calibri" w:hAnsi="Calibri"/>
          <w:color w:val="334155"/>
          <w:sz w:val="22"/>
          <w:szCs w:val="22"/>
        </w:rPr>
        <w:t xml:space="preserve">Vente flash : depuis le formulaire, le vendeur peut definir un prix flash et une date de fin. La vente flash est automatiquement desactivee a l'expiration.</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9356"/>
      </w:tblGrid>
      <w:tr>
        <w:tc>
          <w:tcPr>
            <w:tcW w:type="dxa" w:w="390"/>
            <w:tcBorders>
              <w:top w:val="none" w:color="FFFFFF" w:sz="0"/>
              <w:left w:val="none" w:color="FFFFFF" w:sz="0"/>
              <w:bottom w:val="none" w:color="FFFFFF" w:sz="0"/>
              <w:right w:val="none" w:color="FFFFFF" w:sz="0"/>
            </w:tcBorders>
            <w:shd w:fill="FF6B2B" w:val="clear"/>
          </w:tcPr>
          <w:p>
            <w:pPr>
              <w:spacing w:after="120" w:before="0"/>
              <w:jc w:val="left"/>
            </w:pPr>
          </w:p>
        </w:tc>
        <w:tc>
          <w:tcPr>
            <w:tcW w:type="dxa" w:w="9356"/>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pPr>
              <w:spacing w:after="80" w:before="0"/>
            </w:pPr>
            <w:r>
              <w:rPr>
                <w:rFonts w:ascii="Calibri" w:cs="Calibri" w:eastAsia="Calibri" w:hAnsi="Calibri"/>
                <w:b/>
                <w:bCs/>
                <w:color w:val="065F46"/>
                <w:sz w:val="22"/>
                <w:szCs w:val="22"/>
              </w:rPr>
              <w:t xml:space="preserve">Controle d'acces</w:t>
            </w:r>
          </w:p>
          <w:p>
            <w:pPr>
              <w:spacing w:after="0" w:before="0"/>
            </w:pPr>
            <w:r>
              <w:rPr>
                <w:rFonts w:ascii="Calibri" w:cs="Calibri" w:eastAsia="Calibri" w:hAnsi="Calibri"/>
                <w:color w:val="065F46"/>
                <w:sz w:val="21"/>
                <w:szCs w:val="21"/>
              </w:rPr>
              <w:t xml:space="preserve">Toutes les operations de modification et suppression verifient que le produit appartient bien au vendeur connecte (seller_id = user_id). Un vendeur ne peut jamais modifier le produit d'un autre vendeur, meme en manipulant les parametres de l'URL.</w:t>
            </w:r>
          </w:p>
        </w:tc>
      </w:tr>
    </w:tbl>
    <w:p>
      <w:pPr>
        <w:spacing w:after="0" w:before="0"/>
      </w:pPr>
      <w:r>
        <w:br w:type="page"/>
      </w:r>
    </w:p>
    <w:p>
      <w:pPr>
        <w:pStyle w:val="Heading1"/>
        <w:pageBreakBefore/>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4 — Systeme de commissions</w:t>
      </w:r>
    </w:p>
    <w:p>
      <w:pPr>
        <w:spacing w:after="40" w:before="0"/>
      </w:pPr>
      <w:r>
        <w:rPr>
          <w:rFonts w:ascii="Calibri" w:cs="Calibri" w:eastAsia="Calibri" w:hAnsi="Calibri"/>
          <w:i/>
          <w:iCs/>
          <w:color w:val="64748B"/>
          <w:sz w:val="20"/>
          <w:szCs w:val="20"/>
        </w:rPr>
        <w:t xml:space="preserve">Fichiers : seller/commissions.php, seller/orders.php</w:t>
      </w:r>
    </w:p>
    <w:p>
      <w:pPr>
        <w:spacing w:after="120" w:before="40"/>
        <w:jc w:val="both"/>
      </w:pPr>
      <w:r>
        <w:rPr>
          <w:rFonts w:ascii="Calibri" w:cs="Calibri" w:eastAsia="Calibri" w:hAnsi="Calibri"/>
          <w:i w:val="false"/>
          <w:iCs w:val="false"/>
          <w:color w:val="334155"/>
          <w:sz w:val="22"/>
          <w:szCs w:val="22"/>
        </w:rPr>
        <w:t xml:space="preserve">Le systeme de commissions est entierement automatise. Des qu'une commande est validee, les commissions dues a la plateforme sont calculees et enregistrees pour chaque produit vendeur present dans la commande.</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Regles de calcul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1949"/>
        <w:gridCol w:w="4873"/>
      </w:tblGrid>
      <w:tr>
        <w:trPr>
          <w:tblHeader/>
        </w:trPr>
        <w:tc>
          <w:tcPr>
            <w:tcW w:type="dxa" w:w="2924"/>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Modele vendeur</w:t>
            </w:r>
          </w:p>
        </w:tc>
        <w:tc>
          <w:tcPr>
            <w:tcW w:type="dxa" w:w="1949"/>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Taux</w:t>
            </w:r>
          </w:p>
        </w:tc>
        <w:tc>
          <w:tcPr>
            <w:tcW w:type="dxa" w:w="487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Justification</w:t>
            </w:r>
          </w:p>
        </w:tc>
      </w:tr>
      <w:tr>
        <w:tc>
          <w:tcPr>
            <w:tcW w:type="dxa" w:w="29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Plateforme geree</w:t>
            </w:r>
          </w:p>
        </w:tc>
        <w:tc>
          <w:tcPr>
            <w:tcW w:type="dxa" w:w="194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12%</w:t>
            </w:r>
          </w:p>
        </w:tc>
        <w:tc>
          <w:tcPr>
            <w:tcW w:type="dxa" w:w="487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Couvre le stockage, l'expedition et le service apres-vente assures par World Compass</w:t>
            </w:r>
          </w:p>
        </w:tc>
      </w:tr>
      <w:tr>
        <w:tc>
          <w:tcPr>
            <w:tcW w:type="dxa" w:w="292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Vendeur autonome</w:t>
            </w:r>
          </w:p>
        </w:tc>
        <w:tc>
          <w:tcPr>
            <w:tcW w:type="dxa" w:w="194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6%</w:t>
            </w:r>
          </w:p>
        </w:tc>
        <w:tc>
          <w:tcPr>
            <w:tcW w:type="dxa" w:w="487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Couvre l'acces a la plateforme et les frais de visibilite uniquement</w:t>
            </w:r>
          </w:p>
        </w:tc>
      </w:tr>
    </w:tbl>
    <w:p>
      <w:pPr>
        <w:pStyle w:val="Heading2"/>
        <w:pBdr>
          <w:left w:val="single" w:color="FF6B2B" w:sz="16"/>
        </w:pBdr>
        <w:spacing w:after="100" w:before="280"/>
        <w:ind w:left="200"/>
      </w:pPr>
      <w:r>
        <w:rPr>
          <w:rFonts w:ascii="Calibri" w:cs="Calibri" w:eastAsia="Calibri" w:hAnsi="Calibri"/>
          <w:b/>
          <w:bCs/>
          <w:color w:val="1B2A41"/>
          <w:sz w:val="26"/>
          <w:szCs w:val="26"/>
        </w:rPr>
        <w:t xml:space="preserve">Vue vendeur — Page Commissions</w:t>
      </w:r>
    </w:p>
    <w:p>
      <w:pPr>
        <w:spacing w:after="120" w:before="40"/>
        <w:jc w:val="left"/>
      </w:pPr>
      <w:r>
        <w:rPr>
          <w:rFonts w:ascii="Calibri" w:cs="Calibri" w:eastAsia="Calibri" w:hAnsi="Calibri"/>
          <w:i w:val="false"/>
          <w:iCs w:val="false"/>
          <w:color w:val="334155"/>
          <w:sz w:val="22"/>
          <w:szCs w:val="22"/>
        </w:rPr>
        <w:t xml:space="preserve">Depuis la page seller/commissions.php, le vendeur peut consulter :</w:t>
      </w:r>
    </w:p>
    <w:p>
      <w:pPr>
        <w:pStyle w:val="ListParagraph"/>
        <w:numPr>
          <w:ilvl w:val="0"/>
          <w:numId w:val="2"/>
        </w:numPr>
        <w:spacing w:after="60" w:before="40"/>
      </w:pPr>
      <w:r>
        <w:rPr>
          <w:rFonts w:ascii="Calibri" w:cs="Calibri" w:eastAsia="Calibri" w:hAnsi="Calibri"/>
          <w:color w:val="334155"/>
          <w:sz w:val="22"/>
          <w:szCs w:val="22"/>
        </w:rPr>
        <w:t xml:space="preserve">Le montant total des commissions en attente de versement.</w:t>
      </w:r>
    </w:p>
    <w:p>
      <w:pPr>
        <w:pStyle w:val="ListParagraph"/>
        <w:numPr>
          <w:ilvl w:val="0"/>
          <w:numId w:val="2"/>
        </w:numPr>
        <w:spacing w:after="60" w:before="40"/>
      </w:pPr>
      <w:r>
        <w:rPr>
          <w:rFonts w:ascii="Calibri" w:cs="Calibri" w:eastAsia="Calibri" w:hAnsi="Calibri"/>
          <w:color w:val="334155"/>
          <w:sz w:val="22"/>
          <w:szCs w:val="22"/>
        </w:rPr>
        <w:t xml:space="preserve">Le montant total des commissions deja versees.</w:t>
      </w:r>
    </w:p>
    <w:p>
      <w:pPr>
        <w:pStyle w:val="ListParagraph"/>
        <w:numPr>
          <w:ilvl w:val="0"/>
          <w:numId w:val="2"/>
        </w:numPr>
        <w:spacing w:after="60" w:before="40"/>
      </w:pPr>
      <w:r>
        <w:rPr>
          <w:rFonts w:ascii="Calibri" w:cs="Calibri" w:eastAsia="Calibri" w:hAnsi="Calibri"/>
          <w:color w:val="334155"/>
          <w:sz w:val="22"/>
          <w:szCs w:val="22"/>
        </w:rPr>
        <w:t xml:space="preserve">L'historique detaille de chaque transaction : numero de commande, date, produit vendu, montant de la vente, taux applique, montant de la commission et statut (en attente / verse).</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Vue vendeur — Page Commandes</w:t>
      </w:r>
    </w:p>
    <w:p>
      <w:pPr>
        <w:spacing w:after="120" w:before="40"/>
        <w:jc w:val="left"/>
      </w:pPr>
      <w:r>
        <w:rPr>
          <w:rFonts w:ascii="Calibri" w:cs="Calibri" w:eastAsia="Calibri" w:hAnsi="Calibri"/>
          <w:i w:val="false"/>
          <w:iCs w:val="false"/>
          <w:color w:val="334155"/>
          <w:sz w:val="22"/>
          <w:szCs w:val="22"/>
        </w:rPr>
        <w:t xml:space="preserve">La page seller/orders.php liste toutes les commandes comportant les produits du vendeur, avec le nom du client, la date, le produit concerne, la quantite, le montant et le statut logistique de la commande.</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9356"/>
      </w:tblGrid>
      <w:tr>
        <w:tc>
          <w:tcPr>
            <w:tcW w:type="dxa" w:w="390"/>
            <w:tcBorders>
              <w:top w:val="none" w:color="FFFFFF" w:sz="0"/>
              <w:left w:val="none" w:color="FFFFFF" w:sz="0"/>
              <w:bottom w:val="none" w:color="FFFFFF" w:sz="0"/>
              <w:right w:val="none" w:color="FFFFFF" w:sz="0"/>
            </w:tcBorders>
            <w:shd w:fill="FF6B2B" w:val="clear"/>
          </w:tcPr>
          <w:p>
            <w:pPr>
              <w:spacing w:after="120" w:before="0"/>
              <w:jc w:val="left"/>
            </w:pPr>
          </w:p>
        </w:tc>
        <w:tc>
          <w:tcPr>
            <w:tcW w:type="dxa" w:w="935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80" w:before="0"/>
            </w:pPr>
            <w:r>
              <w:rPr>
                <w:rFonts w:ascii="Calibri" w:cs="Calibri" w:eastAsia="Calibri" w:hAnsi="Calibri"/>
                <w:b/>
                <w:bCs/>
                <w:color w:val="1E40AF"/>
                <w:sz w:val="22"/>
                <w:szCs w:val="22"/>
              </w:rPr>
              <w:t xml:space="preserve">Declenchement automatique</w:t>
            </w:r>
          </w:p>
          <w:p>
            <w:pPr>
              <w:spacing w:after="0" w:before="0"/>
            </w:pPr>
            <w:r>
              <w:rPr>
                <w:rFonts w:ascii="Calibri" w:cs="Calibri" w:eastAsia="Calibri" w:hAnsi="Calibri"/>
                <w:color w:val="1E40AF"/>
                <w:sz w:val="21"/>
                <w:szCs w:val="21"/>
              </w:rPr>
              <w:t xml:space="preserve">La creation des commissions vendeurs est declenchee automatiquement a la fin de chaque commande validee via la fonction createCommissions(), appelee dans checkout.php. Si un produit n'a pas de seller_id (produit de la plateforme sans vendeur assigne), aucune commission n'est generee pour ce produit.</w:t>
            </w:r>
          </w:p>
        </w:tc>
      </w:tr>
    </w:tbl>
    <w:p>
      <w:pPr>
        <w:spacing w:after="100" w:before="0"/>
      </w:pPr>
    </w:p>
    <w:p>
      <w:pPr>
        <w:pStyle w:val="Heading2"/>
        <w:pBdr>
          <w:left w:val="single" w:color="FF6B2B" w:sz="16"/>
        </w:pBdr>
        <w:spacing w:after="100" w:before="280"/>
        <w:ind w:left="200"/>
      </w:pPr>
      <w:r>
        <w:rPr>
          <w:rFonts w:ascii="Calibri" w:cs="Calibri" w:eastAsia="Calibri" w:hAnsi="Calibri"/>
          <w:b/>
          <w:bCs/>
          <w:color w:val="1B2A41"/>
          <w:sz w:val="26"/>
          <w:szCs w:val="26"/>
        </w:rPr>
        <w:t xml:space="preserve">Commission plateforme World Compass</w:t>
      </w:r>
    </w:p>
    <w:p>
      <w:pPr>
        <w:spacing w:after="120" w:before="40"/>
        <w:jc w:val="both"/>
      </w:pPr>
      <w:r>
        <w:rPr>
          <w:rFonts w:ascii="Calibri" w:cs="Calibri" w:eastAsia="Calibri" w:hAnsi="Calibri"/>
          <w:i w:val="false"/>
          <w:iCs w:val="false"/>
          <w:color w:val="334155"/>
          <w:sz w:val="22"/>
          <w:szCs w:val="22"/>
        </w:rPr>
        <w:t xml:space="preserve">En complement des commissions vendeurs, la plateforme World Compass peut prelevar sa propre commission sur chaque vente realisee par un vendeur partenaire. Ce systeme est entierement independant des commissions vendeurs.</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1949"/>
        <w:gridCol w:w="4873"/>
      </w:tblGrid>
      <w:tr>
        <w:trPr>
          <w:tblHeader/>
        </w:trPr>
        <w:tc>
          <w:tcPr>
            <w:tcW w:type="dxa" w:w="2924"/>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Parametre</w:t>
            </w:r>
          </w:p>
        </w:tc>
        <w:tc>
          <w:tcPr>
            <w:tcW w:type="dxa" w:w="1949"/>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Valeur par defaut</w:t>
            </w:r>
          </w:p>
        </w:tc>
        <w:tc>
          <w:tcPr>
            <w:tcW w:type="dxa" w:w="487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29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Taux de commission</w:t>
            </w:r>
          </w:p>
        </w:tc>
        <w:tc>
          <w:tcPr>
            <w:tcW w:type="dxa" w:w="194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3%</w:t>
            </w:r>
          </w:p>
        </w:tc>
        <w:tc>
          <w:tcPr>
            <w:tcW w:type="dxa" w:w="487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Pourcentage preleve sur le montant total de chaque vente vendeur</w:t>
            </w:r>
          </w:p>
        </w:tc>
      </w:tr>
      <w:tr>
        <w:tc>
          <w:tcPr>
            <w:tcW w:type="dxa" w:w="292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Activation</w:t>
            </w:r>
          </w:p>
        </w:tc>
        <w:tc>
          <w:tcPr>
            <w:tcW w:type="dxa" w:w="194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Activee</w:t>
            </w:r>
          </w:p>
        </w:tc>
        <w:tc>
          <w:tcPr>
            <w:tcW w:type="dxa" w:w="487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La commission peut etre activee ou desactivee instantanement depuis les parametres</w:t>
            </w:r>
          </w:p>
        </w:tc>
      </w:tr>
      <w:tr>
        <w:tc>
          <w:tcPr>
            <w:tcW w:type="dxa" w:w="292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Perimetre</w:t>
            </w:r>
          </w:p>
        </w:tc>
        <w:tc>
          <w:tcPr>
            <w:tcW w:type="dxa" w:w="194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Toutes les ventes vendeur</w:t>
            </w:r>
          </w:p>
        </w:tc>
        <w:tc>
          <w:tcPr>
            <w:tcW w:type="dxa" w:w="487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S'applique sur le sous-total de chaque vendeur dans la commande</w:t>
            </w:r>
          </w:p>
        </w:tc>
      </w:tr>
      <w:tr>
        <w:tc>
          <w:tcPr>
            <w:tcW w:type="dxa" w:w="292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Table de stockage</w:t>
            </w:r>
          </w:p>
        </w:tc>
        <w:tc>
          <w:tcPr>
            <w:tcW w:type="dxa" w:w="194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platform_commissions</w:t>
            </w:r>
          </w:p>
        </w:tc>
        <w:tc>
          <w:tcPr>
            <w:tcW w:type="dxa" w:w="487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val="false"/>
                <w:bCs w:val="false"/>
                <w:color w:val="334155"/>
                <w:sz w:val="20"/>
                <w:szCs w:val="20"/>
              </w:rPr>
              <w:t xml:space="preserve">Historique de tous les montants preleves, avec statut pending ou paid</w:t>
            </w:r>
          </w:p>
        </w:tc>
      </w:tr>
    </w:tbl>
    <w:p>
      <w:pPr>
        <w:spacing w:after="100" w:before="0"/>
      </w:pPr>
    </w:p>
    <w:p>
      <w:pPr>
        <w:spacing w:after="120" w:before="40"/>
        <w:jc w:val="left"/>
      </w:pPr>
      <w:r>
        <w:rPr>
          <w:rFonts w:ascii="Calibri" w:cs="Calibri" w:eastAsia="Calibri" w:hAnsi="Calibri"/>
          <w:i w:val="false"/>
          <w:iCs w:val="false"/>
          <w:color w:val="334155"/>
          <w:sz w:val="22"/>
          <w:szCs w:val="22"/>
        </w:rPr>
        <w:t xml:space="preserve">Configuration depuis l'administration :</w:t>
      </w:r>
    </w:p>
    <w:p>
      <w:pPr>
        <w:pStyle w:val="ListParagraph"/>
        <w:numPr>
          <w:ilvl w:val="0"/>
          <w:numId w:val="2"/>
        </w:numPr>
        <w:spacing w:after="60" w:before="40"/>
      </w:pPr>
      <w:r>
        <w:rPr>
          <w:rFonts w:ascii="Calibri" w:cs="Calibri" w:eastAsia="Calibri" w:hAnsi="Calibri"/>
          <w:color w:val="334155"/>
          <w:sz w:val="22"/>
          <w:szCs w:val="22"/>
        </w:rPr>
        <w:t xml:space="preserve">Le taux est saisissable avec deux decimales (ex. 3,50%).</w:t>
      </w:r>
    </w:p>
    <w:p>
      <w:pPr>
        <w:pStyle w:val="ListParagraph"/>
        <w:numPr>
          <w:ilvl w:val="0"/>
          <w:numId w:val="2"/>
        </w:numPr>
        <w:spacing w:after="60" w:before="40"/>
      </w:pPr>
      <w:r>
        <w:rPr>
          <w:rFonts w:ascii="Calibri" w:cs="Calibri" w:eastAsia="Calibri" w:hAnsi="Calibri"/>
          <w:color w:val="334155"/>
          <w:sz w:val="22"/>
          <w:szCs w:val="22"/>
        </w:rPr>
        <w:t xml:space="preserve">Le toggle "Commission activee / desactivee" permet de suspendre ou reprendre le prelevement a tout moment sans modifier le code.</w:t>
      </w:r>
    </w:p>
    <w:p>
      <w:pPr>
        <w:pStyle w:val="ListParagraph"/>
        <w:numPr>
          <w:ilvl w:val="0"/>
          <w:numId w:val="2"/>
        </w:numPr>
        <w:spacing w:after="60" w:before="40"/>
      </w:pPr>
      <w:r>
        <w:rPr>
          <w:rFonts w:ascii="Calibri" w:cs="Calibri" w:eastAsia="Calibri" w:hAnsi="Calibri"/>
          <w:color w:val="334155"/>
          <w:sz w:val="22"/>
          <w:szCs w:val="22"/>
        </w:rPr>
        <w:t xml:space="preserve">Si la commission est desactivee, aucune entree n'est creee dans platform_commissions.</w:t>
      </w:r>
    </w:p>
    <w:p>
      <w:pPr>
        <w:pStyle w:val="ListParagraph"/>
        <w:numPr>
          <w:ilvl w:val="0"/>
          <w:numId w:val="2"/>
        </w:numPr>
        <w:spacing w:after="60" w:before="40"/>
      </w:pPr>
      <w:r>
        <w:rPr>
          <w:rFonts w:ascii="Calibri" w:cs="Calibri" w:eastAsia="Calibri" w:hAnsi="Calibri"/>
          <w:color w:val="334155"/>
          <w:sz w:val="22"/>
          <w:szCs w:val="22"/>
        </w:rPr>
        <w:t xml:space="preserve">Si le taux est 0, aucune commission n'est generee meme si le toggle est actif.</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9356"/>
      </w:tblGrid>
      <w:tr>
        <w:tc>
          <w:tcPr>
            <w:tcW w:type="dxa" w:w="390"/>
            <w:tcBorders>
              <w:top w:val="none" w:color="FFFFFF" w:sz="0"/>
              <w:left w:val="none" w:color="FFFFFF" w:sz="0"/>
              <w:bottom w:val="none" w:color="FFFFFF" w:sz="0"/>
              <w:right w:val="none" w:color="FFFFFF" w:sz="0"/>
            </w:tcBorders>
            <w:shd w:fill="FF6B2B" w:val="clear"/>
          </w:tcPr>
          <w:p>
            <w:pPr>
              <w:spacing w:after="120" w:before="0"/>
              <w:jc w:val="left"/>
            </w:pPr>
          </w:p>
        </w:tc>
        <w:tc>
          <w:tcPr>
            <w:tcW w:type="dxa" w:w="9356"/>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after="80" w:before="0"/>
            </w:pPr>
            <w:r>
              <w:rPr>
                <w:rFonts w:ascii="Calibri" w:cs="Calibri" w:eastAsia="Calibri" w:hAnsi="Calibri"/>
                <w:b/>
                <w:bCs/>
                <w:color w:val="92400E"/>
                <w:sz w:val="22"/>
                <w:szCs w:val="22"/>
              </w:rPr>
              <w:t xml:space="preserve">Architecture double commission</w:t>
            </w:r>
          </w:p>
          <w:p>
            <w:pPr>
              <w:spacing w:after="0" w:before="0"/>
            </w:pPr>
            <w:r>
              <w:rPr>
                <w:rFonts w:ascii="Calibri" w:cs="Calibri" w:eastAsia="Calibri" w:hAnsi="Calibri"/>
                <w:color w:val="92400E"/>
                <w:sz w:val="21"/>
                <w:szCs w:val="21"/>
              </w:rPr>
              <w:t xml:space="preserve">Les deux systemes de commissions sont independants et s'appliquent en parallele. La commission vendeur (6% ou 12%) est visible par le vendeur dans son espace commissions. La commission plateforme est uniquement visible par l'administrateur et constitue le revenu direct de World Compass.</w:t>
            </w:r>
          </w:p>
        </w:tc>
      </w:tr>
    </w:tbl>
    <w:p>
      <w:pPr>
        <w:spacing w:after="0" w:before="0"/>
      </w:pPr>
      <w:r>
        <w:br w:type="page"/>
      </w:r>
    </w:p>
    <w:p>
      <w:pPr>
        <w:pStyle w:val="Heading1"/>
        <w:pageBreakBefore/>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5 — Ventes flash</w:t>
      </w:r>
    </w:p>
    <w:p>
      <w:pPr>
        <w:spacing w:after="40" w:before="0"/>
      </w:pPr>
      <w:r>
        <w:rPr>
          <w:rFonts w:ascii="Calibri" w:cs="Calibri" w:eastAsia="Calibri" w:hAnsi="Calibri"/>
          <w:i/>
          <w:iCs/>
          <w:color w:val="64748B"/>
          <w:sz w:val="20"/>
          <w:szCs w:val="20"/>
        </w:rPr>
        <w:t xml:space="preserve">Fichier : ventes-flash.php</w:t>
      </w:r>
    </w:p>
    <w:p>
      <w:pPr>
        <w:spacing w:after="120" w:before="40"/>
        <w:jc w:val="both"/>
      </w:pPr>
      <w:r>
        <w:rPr>
          <w:rFonts w:ascii="Calibri" w:cs="Calibri" w:eastAsia="Calibri" w:hAnsi="Calibri"/>
          <w:i w:val="false"/>
          <w:iCs w:val="false"/>
          <w:color w:val="334155"/>
          <w:sz w:val="22"/>
          <w:szCs w:val="22"/>
        </w:rPr>
        <w:t xml:space="preserve">Le module de ventes flash permet de proposer des produits a prix reduit pour une duree limitee. Les reductions sont affichees avec un compte a rebours en temps reel sur la page dediee et sur toutes les cartes produits du catalogue.</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Page dediee — ventes-flash.php</w:t>
      </w:r>
    </w:p>
    <w:p>
      <w:pPr>
        <w:pStyle w:val="ListParagraph"/>
        <w:numPr>
          <w:ilvl w:val="0"/>
          <w:numId w:val="2"/>
        </w:numPr>
        <w:spacing w:after="60" w:before="40"/>
      </w:pPr>
      <w:r>
        <w:rPr>
          <w:rFonts w:ascii="Calibri" w:cs="Calibri" w:eastAsia="Calibri" w:hAnsi="Calibri"/>
          <w:color w:val="334155"/>
          <w:sz w:val="22"/>
          <w:szCs w:val="22"/>
        </w:rPr>
        <w:t xml:space="preserve">Bandeau hero avec titre et compte a rebours global visant la prochaine vente a expirer.</w:t>
      </w:r>
    </w:p>
    <w:p>
      <w:pPr>
        <w:pStyle w:val="ListParagraph"/>
        <w:numPr>
          <w:ilvl w:val="0"/>
          <w:numId w:val="2"/>
        </w:numPr>
        <w:spacing w:after="60" w:before="40"/>
      </w:pPr>
      <w:r>
        <w:rPr>
          <w:rFonts w:ascii="Calibri" w:cs="Calibri" w:eastAsia="Calibri" w:hAnsi="Calibri"/>
          <w:color w:val="334155"/>
          <w:sz w:val="22"/>
          <w:szCs w:val="22"/>
        </w:rPr>
        <w:t xml:space="preserve">Grille de tous les produits en flash active, tries par date de fin la plus proche.</w:t>
      </w:r>
    </w:p>
    <w:p>
      <w:pPr>
        <w:pStyle w:val="ListParagraph"/>
        <w:numPr>
          <w:ilvl w:val="0"/>
          <w:numId w:val="2"/>
        </w:numPr>
        <w:spacing w:after="60" w:before="40"/>
      </w:pPr>
      <w:r>
        <w:rPr>
          <w:rFonts w:ascii="Calibri" w:cs="Calibri" w:eastAsia="Calibri" w:hAnsi="Calibri"/>
          <w:color w:val="334155"/>
          <w:sz w:val="22"/>
          <w:szCs w:val="22"/>
        </w:rPr>
        <w:t xml:space="preserve">Chaque carte affiche un badge "FLASH", le pourcentage de reduction et un minuteur individuel en heures/minutes/secondes mis a jour en temps reel.</w:t>
      </w:r>
    </w:p>
    <w:p>
      <w:pPr>
        <w:pStyle w:val="ListParagraph"/>
        <w:numPr>
          <w:ilvl w:val="0"/>
          <w:numId w:val="2"/>
        </w:numPr>
        <w:spacing w:after="60" w:before="40"/>
      </w:pPr>
      <w:r>
        <w:rPr>
          <w:rFonts w:ascii="Calibri" w:cs="Calibri" w:eastAsia="Calibri" w:hAnsi="Calibri"/>
          <w:color w:val="334155"/>
          <w:sz w:val="22"/>
          <w:szCs w:val="22"/>
        </w:rPr>
        <w:t xml:space="preserve">Si aucune vente flash n'est active, une page d'attente professionnelle est affichee.</w:t>
      </w:r>
    </w:p>
    <w:p>
      <w:pPr>
        <w:pStyle w:val="ListParagraph"/>
        <w:numPr>
          <w:ilvl w:val="0"/>
          <w:numId w:val="2"/>
        </w:numPr>
        <w:spacing w:after="60" w:before="40"/>
      </w:pPr>
      <w:r>
        <w:rPr>
          <w:rFonts w:ascii="Calibri" w:cs="Calibri" w:eastAsia="Calibri" w:hAnsi="Calibri"/>
          <w:color w:val="334155"/>
          <w:sz w:val="22"/>
          <w:szCs w:val="22"/>
        </w:rPr>
        <w:t xml:space="preserve">Section informative expliquant le fonctionnement : duree limitee, prix garantis, stocks limites.</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Integration dans tout le catalogue</w:t>
      </w:r>
    </w:p>
    <w:p>
      <w:pPr>
        <w:pStyle w:val="ListParagraph"/>
        <w:numPr>
          <w:ilvl w:val="0"/>
          <w:numId w:val="2"/>
        </w:numPr>
        <w:spacing w:after="60" w:before="40"/>
      </w:pPr>
      <w:r>
        <w:rPr>
          <w:rFonts w:ascii="Calibri" w:cs="Calibri" w:eastAsia="Calibri" w:hAnsi="Calibri"/>
          <w:color w:val="334155"/>
          <w:sz w:val="22"/>
          <w:szCs w:val="22"/>
        </w:rPr>
        <w:t xml:space="preserve">Badge sur les cartes produits : tout produit en flash active affiche automatiquement un badge rouge "FLASH -X%" et un mini-countdown partout dans le site (accueil, categories, recherche, produits recommandes).</w:t>
      </w:r>
    </w:p>
    <w:p>
      <w:pPr>
        <w:pStyle w:val="ListParagraph"/>
        <w:numPr>
          <w:ilvl w:val="0"/>
          <w:numId w:val="2"/>
        </w:numPr>
        <w:spacing w:after="60" w:before="40"/>
      </w:pPr>
      <w:r>
        <w:rPr>
          <w:rFonts w:ascii="Calibri" w:cs="Calibri" w:eastAsia="Calibri" w:hAnsi="Calibri"/>
          <w:color w:val="334155"/>
          <w:sz w:val="22"/>
          <w:szCs w:val="22"/>
        </w:rPr>
        <w:t xml:space="preserve">Prix affiche : le prix flash remplace le prix normal tant que la vente est active. Le prix original est affiche barre a cote.</w:t>
      </w:r>
    </w:p>
    <w:p>
      <w:pPr>
        <w:pStyle w:val="ListParagraph"/>
        <w:numPr>
          <w:ilvl w:val="0"/>
          <w:numId w:val="2"/>
        </w:numPr>
        <w:spacing w:after="60" w:before="40"/>
      </w:pPr>
      <w:r>
        <w:rPr>
          <w:rFonts w:ascii="Calibri" w:cs="Calibri" w:eastAsia="Calibri" w:hAnsi="Calibri"/>
          <w:color w:val="334155"/>
          <w:sz w:val="22"/>
          <w:szCs w:val="22"/>
        </w:rPr>
        <w:t xml:space="preserve">Lien dans la navigation : le lien "Ventes Flash" apparait uniquement lorsqu'il existe au moins un produit en flash active. Il disparait automatiquement sinon.</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Configuration d'une vente flash</w:t>
      </w:r>
    </w:p>
    <w:p>
      <w:pPr>
        <w:spacing w:after="120" w:before="40"/>
        <w:jc w:val="left"/>
      </w:pPr>
      <w:r>
        <w:rPr>
          <w:rFonts w:ascii="Calibri" w:cs="Calibri" w:eastAsia="Calibri" w:hAnsi="Calibri"/>
          <w:i w:val="false"/>
          <w:iCs w:val="false"/>
          <w:color w:val="334155"/>
          <w:sz w:val="22"/>
          <w:szCs w:val="22"/>
        </w:rPr>
        <w:t xml:space="preserve">Une vente flash se configure depuis le formulaire de modification de produit, aussi bien en administration qu'en espace vendeur :</w:t>
      </w:r>
    </w:p>
    <w:p>
      <w:pPr>
        <w:pStyle w:val="ListParagraph"/>
        <w:numPr>
          <w:ilvl w:val="0"/>
          <w:numId w:val="2"/>
        </w:numPr>
        <w:spacing w:after="60" w:before="40"/>
      </w:pPr>
      <w:r>
        <w:rPr>
          <w:rFonts w:ascii="Calibri" w:cs="Calibri" w:eastAsia="Calibri" w:hAnsi="Calibri"/>
          <w:color w:val="334155"/>
          <w:sz w:val="22"/>
          <w:szCs w:val="22"/>
        </w:rPr>
        <w:t xml:space="preserve">Prix flash : le prix de vente reduit pendant la periode flash.</w:t>
      </w:r>
    </w:p>
    <w:p>
      <w:pPr>
        <w:pStyle w:val="ListParagraph"/>
        <w:numPr>
          <w:ilvl w:val="0"/>
          <w:numId w:val="2"/>
        </w:numPr>
        <w:spacing w:after="60" w:before="40"/>
      </w:pPr>
      <w:r>
        <w:rPr>
          <w:rFonts w:ascii="Calibri" w:cs="Calibri" w:eastAsia="Calibri" w:hAnsi="Calibri"/>
          <w:color w:val="334155"/>
          <w:sz w:val="22"/>
          <w:szCs w:val="22"/>
        </w:rPr>
        <w:t xml:space="preserve">Date de fin : la date et l'heure exacte de fin de la promotion.</w:t>
      </w:r>
    </w:p>
    <w:p>
      <w:pPr>
        <w:spacing w:after="120" w:before="40"/>
        <w:jc w:val="left"/>
      </w:pPr>
      <w:r>
        <w:rPr>
          <w:rFonts w:ascii="Calibri" w:cs="Calibri" w:eastAsia="Calibri" w:hAnsi="Calibri"/>
          <w:i w:val="false"/>
          <w:iCs w:val="false"/>
          <w:color w:val="334155"/>
          <w:sz w:val="22"/>
          <w:szCs w:val="22"/>
        </w:rPr>
        <w:t xml:space="preserve">Pour desactiver une vente flash, il suffit de laisser le champ "Prix flash" vide ou de definir une date de fin dans le passe.</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9356"/>
      </w:tblGrid>
      <w:tr>
        <w:tc>
          <w:tcPr>
            <w:tcW w:type="dxa" w:w="390"/>
            <w:tcBorders>
              <w:top w:val="none" w:color="FFFFFF" w:sz="0"/>
              <w:left w:val="none" w:color="FFFFFF" w:sz="0"/>
              <w:bottom w:val="none" w:color="FFFFFF" w:sz="0"/>
              <w:right w:val="none" w:color="FFFFFF" w:sz="0"/>
            </w:tcBorders>
            <w:shd w:fill="FF6B2B" w:val="clear"/>
          </w:tcPr>
          <w:p>
            <w:pPr>
              <w:spacing w:after="120" w:before="0"/>
              <w:jc w:val="left"/>
            </w:pPr>
          </w:p>
        </w:tc>
        <w:tc>
          <w:tcPr>
            <w:tcW w:type="dxa" w:w="9356"/>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after="80" w:before="0"/>
            </w:pPr>
            <w:r>
              <w:rPr>
                <w:rFonts w:ascii="Calibri" w:cs="Calibri" w:eastAsia="Calibri" w:hAnsi="Calibri"/>
                <w:b/>
                <w:bCs/>
                <w:color w:val="92400E"/>
                <w:sz w:val="22"/>
                <w:szCs w:val="22"/>
              </w:rPr>
              <w:t xml:space="preserve">Architecture technique</w:t>
            </w:r>
          </w:p>
          <w:p>
            <w:pPr>
              <w:spacing w:after="0" w:before="0"/>
            </w:pPr>
            <w:r>
              <w:rPr>
                <w:rFonts w:ascii="Calibri" w:cs="Calibri" w:eastAsia="Calibri" w:hAnsi="Calibri"/>
                <w:color w:val="92400E"/>
                <w:sz w:val="21"/>
                <w:szCs w:val="21"/>
              </w:rPr>
              <w:t xml:space="preserve">Le prix flash n'est applique que cote affichage. Le prix de base du produit (products.price) n'est pas modifie. Le prix normal est donc restaure automatiquement a l'expiration, sans aucune action manuelle.</w:t>
            </w:r>
          </w:p>
        </w:tc>
      </w:tr>
    </w:tbl>
    <w:p>
      <w:pPr>
        <w:spacing w:after="0" w:before="0"/>
      </w:pPr>
      <w:r>
        <w:br w:type="page"/>
      </w:r>
    </w:p>
    <w:p>
      <w:pPr>
        <w:pStyle w:val="Heading1"/>
        <w:pageBreakBefore/>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6 — Programme de fidelite</w:t>
      </w:r>
    </w:p>
    <w:p>
      <w:pPr>
        <w:spacing w:after="40" w:before="0"/>
      </w:pPr>
      <w:r>
        <w:rPr>
          <w:rFonts w:ascii="Calibri" w:cs="Calibri" w:eastAsia="Calibri" w:hAnsi="Calibri"/>
          <w:i/>
          <w:iCs/>
          <w:color w:val="64748B"/>
          <w:sz w:val="20"/>
          <w:szCs w:val="20"/>
        </w:rPr>
        <w:t xml:space="preserve">Integration dans checkout.php et profile.php</w:t>
      </w:r>
    </w:p>
    <w:p>
      <w:pPr>
        <w:spacing w:after="120" w:before="40"/>
        <w:jc w:val="both"/>
      </w:pPr>
      <w:r>
        <w:rPr>
          <w:rFonts w:ascii="Calibri" w:cs="Calibri" w:eastAsia="Calibri" w:hAnsi="Calibri"/>
          <w:i w:val="false"/>
          <w:iCs w:val="false"/>
          <w:color w:val="334155"/>
          <w:sz w:val="22"/>
          <w:szCs w:val="22"/>
        </w:rPr>
        <w:t xml:space="preserve">Le programme de fidelite recompense les acheteurs a chaque commande passee sur la plateforme. Les points accumules peuvent etre utilises comme moyen de paiement partiel lors des commandes suivantes.</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Regles du programme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86"/>
        <w:gridCol w:w="5360"/>
      </w:tblGrid>
      <w:tr>
        <w:trPr>
          <w:tblHeader/>
        </w:trPr>
        <w:tc>
          <w:tcPr>
            <w:tcW w:type="dxa" w:w="438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Regle</w:t>
            </w:r>
          </w:p>
        </w:tc>
        <w:tc>
          <w:tcPr>
            <w:tcW w:type="dxa" w:w="536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Valeur</w:t>
            </w:r>
          </w:p>
        </w:tc>
      </w:tr>
      <w:tr>
        <w:tc>
          <w:tcPr>
            <w:tcW w:type="dxa" w:w="438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438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438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438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438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pStyle w:val="Heading2"/>
        <w:pBdr>
          <w:left w:val="single" w:color="FF6B2B" w:sz="16"/>
        </w:pBdr>
        <w:spacing w:after="100" w:before="280"/>
        <w:ind w:left="200"/>
      </w:pPr>
      <w:r>
        <w:rPr>
          <w:rFonts w:ascii="Calibri" w:cs="Calibri" w:eastAsia="Calibri" w:hAnsi="Calibri"/>
          <w:b/>
          <w:bCs/>
          <w:color w:val="1B2A41"/>
          <w:sz w:val="26"/>
          <w:szCs w:val="26"/>
        </w:rPr>
        <w:t xml:space="preserve">Fonctionnement a la caisse</w:t>
      </w:r>
    </w:p>
    <w:p>
      <w:pPr>
        <w:spacing w:after="120" w:before="40"/>
        <w:jc w:val="left"/>
      </w:pPr>
      <w:r>
        <w:rPr>
          <w:rFonts w:ascii="Calibri" w:cs="Calibri" w:eastAsia="Calibri" w:hAnsi="Calibri"/>
          <w:i w:val="false"/>
          <w:iCs w:val="false"/>
          <w:color w:val="334155"/>
          <w:sz w:val="22"/>
          <w:szCs w:val="22"/>
        </w:rPr>
        <w:t xml:space="preserve">Lorsqu'un acheteur connecte dispose d'au moins 100 points, un bloc de fidelite s'affiche dans le formulaire de commande. Il peut y saisir le nombre de points a utiliser. La reduction correspondante est calculee dynamiquement et mise a jour dans le recapitulatif sans rechargement de page.</w:t>
      </w:r>
    </w:p>
    <w:p>
      <w:pPr>
        <w:pStyle w:val="ListParagraph"/>
        <w:numPr>
          <w:ilvl w:val="0"/>
          <w:numId w:val="2"/>
        </w:numPr>
        <w:spacing w:after="60" w:before="40"/>
      </w:pPr>
      <w:r>
        <w:rPr>
          <w:rFonts w:ascii="Calibri" w:cs="Calibri" w:eastAsia="Calibri" w:hAnsi="Calibri"/>
          <w:color w:val="334155"/>
          <w:sz w:val="22"/>
          <w:szCs w:val="22"/>
        </w:rPr>
        <w:t xml:space="preserve">Si l'acheteur a moins de 100 points, un message informatif lui indique combien de points la commande en cours lui rapportera.</w:t>
      </w:r>
    </w:p>
    <w:p>
      <w:pPr>
        <w:pStyle w:val="ListParagraph"/>
        <w:numPr>
          <w:ilvl w:val="0"/>
          <w:numId w:val="2"/>
        </w:numPr>
        <w:spacing w:after="60" w:before="40"/>
      </w:pPr>
      <w:r>
        <w:rPr>
          <w:rFonts w:ascii="Calibri" w:cs="Calibri" w:eastAsia="Calibri" w:hAnsi="Calibri"/>
          <w:color w:val="334155"/>
          <w:sz w:val="22"/>
          <w:szCs w:val="22"/>
        </w:rPr>
        <w:t xml:space="preserve">L'utilisation des points et le credit des nouveaux points sont enregistres simultanement a la validation de la commande.</w:t>
      </w:r>
    </w:p>
    <w:p>
      <w:pPr>
        <w:pStyle w:val="ListParagraph"/>
        <w:numPr>
          <w:ilvl w:val="0"/>
          <w:numId w:val="2"/>
        </w:numPr>
        <w:spacing w:after="60" w:before="40"/>
      </w:pPr>
      <w:r>
        <w:rPr>
          <w:rFonts w:ascii="Calibri" w:cs="Calibri" w:eastAsia="Calibri" w:hAnsi="Calibri"/>
          <w:color w:val="334155"/>
          <w:sz w:val="22"/>
          <w:szCs w:val="22"/>
        </w:rPr>
        <w:t xml:space="preserve">Un message de confirmation indique les points gagnes apres validation.</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Espace fidelite dans le profil</w:t>
      </w:r>
    </w:p>
    <w:p>
      <w:pPr>
        <w:spacing w:after="120" w:before="40"/>
        <w:jc w:val="left"/>
      </w:pPr>
      <w:r>
        <w:rPr>
          <w:rFonts w:ascii="Calibri" w:cs="Calibri" w:eastAsia="Calibri" w:hAnsi="Calibri"/>
          <w:i w:val="false"/>
          <w:iCs w:val="false"/>
          <w:color w:val="334155"/>
          <w:sz w:val="22"/>
          <w:szCs w:val="22"/>
        </w:rPr>
        <w:t xml:space="preserve">Un nouvel onglet "Fidelite" est disponible dans la page de profil de l'utilisateur. Il affiche :</w:t>
      </w:r>
    </w:p>
    <w:p>
      <w:pPr>
        <w:pStyle w:val="ListParagraph"/>
        <w:numPr>
          <w:ilvl w:val="0"/>
          <w:numId w:val="2"/>
        </w:numPr>
        <w:spacing w:after="60" w:before="40"/>
      </w:pPr>
      <w:r>
        <w:rPr>
          <w:rFonts w:ascii="Calibri" w:cs="Calibri" w:eastAsia="Calibri" w:hAnsi="Calibri"/>
          <w:color w:val="334155"/>
          <w:sz w:val="22"/>
          <w:szCs w:val="22"/>
        </w:rPr>
        <w:t xml:space="preserve">Le solde actuel de points et son equivalent en FCFA.</w:t>
      </w:r>
    </w:p>
    <w:p>
      <w:pPr>
        <w:pStyle w:val="ListParagraph"/>
        <w:numPr>
          <w:ilvl w:val="0"/>
          <w:numId w:val="2"/>
        </w:numPr>
        <w:spacing w:after="60" w:before="40"/>
      </w:pPr>
      <w:r>
        <w:rPr>
          <w:rFonts w:ascii="Calibri" w:cs="Calibri" w:eastAsia="Calibri" w:hAnsi="Calibri"/>
          <w:color w:val="334155"/>
          <w:sz w:val="22"/>
          <w:szCs w:val="22"/>
        </w:rPr>
        <w:t xml:space="preserve">Un bouton direct vers la caisse pour utiliser les points.</w:t>
      </w:r>
    </w:p>
    <w:p>
      <w:pPr>
        <w:pStyle w:val="ListParagraph"/>
        <w:numPr>
          <w:ilvl w:val="0"/>
          <w:numId w:val="2"/>
        </w:numPr>
        <w:spacing w:after="60" w:before="40"/>
      </w:pPr>
      <w:r>
        <w:rPr>
          <w:rFonts w:ascii="Calibri" w:cs="Calibri" w:eastAsia="Calibri" w:hAnsi="Calibri"/>
          <w:color w:val="334155"/>
          <w:sz w:val="22"/>
          <w:szCs w:val="22"/>
        </w:rPr>
        <w:t xml:space="preserve">Les regles du programme.</w:t>
      </w:r>
    </w:p>
    <w:p>
      <w:pPr>
        <w:pStyle w:val="ListParagraph"/>
        <w:numPr>
          <w:ilvl w:val="0"/>
          <w:numId w:val="2"/>
        </w:numPr>
        <w:spacing w:after="60" w:before="40"/>
      </w:pPr>
      <w:r>
        <w:rPr>
          <w:rFonts w:ascii="Calibri" w:cs="Calibri" w:eastAsia="Calibri" w:hAnsi="Calibri"/>
          <w:color w:val="334155"/>
          <w:sz w:val="22"/>
          <w:szCs w:val="22"/>
        </w:rPr>
        <w:t xml:space="preserve">L'historique complet des transactions de points (gains et utilisations) avec la date, le numero de commande et le mouvement en points.</w:t>
      </w:r>
    </w:p>
    <w:p>
      <w:pPr>
        <w:spacing w:after="120" w:before="40"/>
        <w:jc w:val="left"/>
      </w:pPr>
      <w:r>
        <w:rPr>
          <w:rFonts w:ascii="Calibri" w:cs="Calibri" w:eastAsia="Calibri" w:hAnsi="Calibri"/>
          <w:i w:val="false"/>
          <w:iCs w:val="false"/>
          <w:color w:val="334155"/>
          <w:sz w:val="22"/>
          <w:szCs w:val="22"/>
        </w:rPr>
        <w:t xml:space="preserve">Le solde de points est egalement visible en permanence dans la barre laterale du profil, sous forme de bloc dore affichant le nombre de points et leur valeur monetaire.</w:t>
      </w:r>
    </w:p>
    <w:p>
      <w:pPr>
        <w:spacing w:after="0" w:before="0"/>
      </w:pPr>
      <w:r>
        <w:br w:type="page"/>
      </w:r>
    </w:p>
    <w:p>
      <w:pPr>
        <w:pStyle w:val="Heading1"/>
        <w:pageBreakBefore/>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7 — Administration : Gestion des vendeurs</w:t>
      </w:r>
    </w:p>
    <w:p>
      <w:pPr>
        <w:spacing w:after="40" w:before="0"/>
      </w:pPr>
      <w:r>
        <w:rPr>
          <w:rFonts w:ascii="Calibri" w:cs="Calibri" w:eastAsia="Calibri" w:hAnsi="Calibri"/>
          <w:i/>
          <w:iCs/>
          <w:color w:val="64748B"/>
          <w:sz w:val="20"/>
          <w:szCs w:val="20"/>
        </w:rPr>
        <w:t xml:space="preserve">Fichier : admin/sellers.php</w:t>
      </w:r>
    </w:p>
    <w:p>
      <w:pPr>
        <w:spacing w:after="120" w:before="40"/>
        <w:jc w:val="both"/>
      </w:pPr>
      <w:r>
        <w:rPr>
          <w:rFonts w:ascii="Calibri" w:cs="Calibri" w:eastAsia="Calibri" w:hAnsi="Calibri"/>
          <w:i w:val="false"/>
          <w:iCs w:val="false"/>
          <w:color w:val="334155"/>
          <w:sz w:val="22"/>
          <w:szCs w:val="22"/>
        </w:rPr>
        <w:t xml:space="preserve">Une nouvelle page d'administration est dediee a la gestion complete des vendeurs partenaires. Elle est accessible depuis le menu lateral de l'administration, avec un badge de notification indiquant le nombre de demandes en attente.</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Traitement des candidatures</w:t>
      </w:r>
    </w:p>
    <w:p>
      <w:pPr>
        <w:spacing w:after="120" w:before="40"/>
        <w:jc w:val="left"/>
      </w:pPr>
      <w:r>
        <w:rPr>
          <w:rFonts w:ascii="Calibri" w:cs="Calibri" w:eastAsia="Calibri" w:hAnsi="Calibri"/>
          <w:i w:val="false"/>
          <w:iCs w:val="false"/>
          <w:color w:val="334155"/>
          <w:sz w:val="22"/>
          <w:szCs w:val="22"/>
        </w:rPr>
        <w:t xml:space="preserve">Les demandes en statut "en attente" sont affichees en priorite dans un encart mis en evidence. Pour chaque demande, l'administrateur peut voir :</w:t>
      </w:r>
    </w:p>
    <w:p>
      <w:pPr>
        <w:pStyle w:val="ListParagraph"/>
        <w:numPr>
          <w:ilvl w:val="0"/>
          <w:numId w:val="2"/>
        </w:numPr>
        <w:spacing w:after="60" w:before="40"/>
      </w:pPr>
      <w:r>
        <w:rPr>
          <w:rFonts w:ascii="Calibri" w:cs="Calibri" w:eastAsia="Calibri" w:hAnsi="Calibri"/>
          <w:color w:val="334155"/>
          <w:sz w:val="22"/>
          <w:szCs w:val="22"/>
        </w:rPr>
        <w:t xml:space="preserve">Le nom complet, l'email et le telephone du candidat.</w:t>
      </w:r>
    </w:p>
    <w:p>
      <w:pPr>
        <w:pStyle w:val="ListParagraph"/>
        <w:numPr>
          <w:ilvl w:val="0"/>
          <w:numId w:val="2"/>
        </w:numPr>
        <w:spacing w:after="60" w:before="40"/>
      </w:pPr>
      <w:r>
        <w:rPr>
          <w:rFonts w:ascii="Calibri" w:cs="Calibri" w:eastAsia="Calibri" w:hAnsi="Calibri"/>
          <w:color w:val="334155"/>
          <w:sz w:val="22"/>
          <w:szCs w:val="22"/>
        </w:rPr>
        <w:t xml:space="preserve">Le nom de la boutique et le modele de vente choisi.</w:t>
      </w:r>
    </w:p>
    <w:p>
      <w:pPr>
        <w:pStyle w:val="ListParagraph"/>
        <w:numPr>
          <w:ilvl w:val="0"/>
          <w:numId w:val="2"/>
        </w:numPr>
        <w:spacing w:after="60" w:before="40"/>
      </w:pPr>
      <w:r>
        <w:rPr>
          <w:rFonts w:ascii="Calibri" w:cs="Calibri" w:eastAsia="Calibri" w:hAnsi="Calibri"/>
          <w:color w:val="334155"/>
          <w:sz w:val="22"/>
          <w:szCs w:val="22"/>
        </w:rPr>
        <w:t xml:space="preserve">Le type de compte (Individuel ou Entreprise) avec les frais d'ouverture correspondants affiches directement.</w:t>
      </w:r>
    </w:p>
    <w:p>
      <w:pPr>
        <w:pStyle w:val="ListParagraph"/>
        <w:numPr>
          <w:ilvl w:val="0"/>
          <w:numId w:val="2"/>
        </w:numPr>
        <w:spacing w:after="60" w:before="40"/>
      </w:pPr>
      <w:r>
        <w:rPr>
          <w:rFonts w:ascii="Calibri" w:cs="Calibri" w:eastAsia="Calibri" w:hAnsi="Calibri"/>
          <w:color w:val="334155"/>
          <w:sz w:val="22"/>
          <w:szCs w:val="22"/>
        </w:rPr>
        <w:t xml:space="preserve">Un extrait de la description de l'activite.</w:t>
      </w:r>
    </w:p>
    <w:p>
      <w:pPr>
        <w:pStyle w:val="ListParagraph"/>
        <w:numPr>
          <w:ilvl w:val="0"/>
          <w:numId w:val="2"/>
        </w:numPr>
        <w:spacing w:after="60" w:before="40"/>
      </w:pPr>
      <w:r>
        <w:rPr>
          <w:rFonts w:ascii="Calibri" w:cs="Calibri" w:eastAsia="Calibri" w:hAnsi="Calibri"/>
          <w:color w:val="334155"/>
          <w:sz w:val="22"/>
          <w:szCs w:val="22"/>
        </w:rPr>
        <w:t xml:space="preserve">La date de soumission de la candidature.</w:t>
      </w:r>
    </w:p>
    <w:p>
      <w:pPr>
        <w:spacing w:after="120" w:before="40"/>
        <w:jc w:val="left"/>
      </w:pPr>
      <w:r>
        <w:rPr>
          <w:rFonts w:ascii="Calibri" w:cs="Calibri" w:eastAsia="Calibri" w:hAnsi="Calibri"/>
          <w:i w:val="false"/>
          <w:iCs w:val="false"/>
          <w:color w:val="334155"/>
          <w:sz w:val="22"/>
          <w:szCs w:val="22"/>
        </w:rPr>
        <w:t xml:space="preserve">Deux actions sont disponibles pour chaque demande, avec un champ de note optionnel :</w:t>
      </w:r>
    </w:p>
    <w:p>
      <w:pPr>
        <w:pStyle w:val="ListParagraph"/>
        <w:numPr>
          <w:ilvl w:val="0"/>
          <w:numId w:val="2"/>
        </w:numPr>
        <w:spacing w:after="60" w:before="40"/>
      </w:pPr>
      <w:r>
        <w:rPr>
          <w:rFonts w:ascii="Calibri" w:cs="Calibri" w:eastAsia="Calibri" w:hAnsi="Calibri"/>
          <w:color w:val="334155"/>
          <w:sz w:val="22"/>
          <w:szCs w:val="22"/>
        </w:rPr>
        <w:t xml:space="preserve">Approuver : le statut passe a "approuve", le role utilisateur est mis a jour en "vendeur", le nom de boutique, le type vendeur et le type de compte sont enregistres sur le profil. L'acces a l'espace vendeur est immediat.</w:t>
      </w:r>
    </w:p>
    <w:p>
      <w:pPr>
        <w:pStyle w:val="ListParagraph"/>
        <w:numPr>
          <w:ilvl w:val="0"/>
          <w:numId w:val="2"/>
        </w:numPr>
        <w:spacing w:after="60" w:before="40"/>
      </w:pPr>
      <w:r>
        <w:rPr>
          <w:rFonts w:ascii="Calibri" w:cs="Calibri" w:eastAsia="Calibri" w:hAnsi="Calibri"/>
          <w:color w:val="334155"/>
          <w:sz w:val="22"/>
          <w:szCs w:val="22"/>
        </w:rPr>
        <w:t xml:space="preserve">Rejeter : le statut passe a "rejete" avec la note explicative de l'administrateur, visible par le candidat sur la page de candidature.</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Vue d'ensemble des vendeurs actifs</w:t>
      </w:r>
    </w:p>
    <w:p>
      <w:pPr>
        <w:spacing w:after="120" w:before="40"/>
        <w:jc w:val="left"/>
      </w:pPr>
      <w:r>
        <w:rPr>
          <w:rFonts w:ascii="Calibri" w:cs="Calibri" w:eastAsia="Calibri" w:hAnsi="Calibri"/>
          <w:i w:val="false"/>
          <w:iCs w:val="false"/>
          <w:color w:val="334155"/>
          <w:sz w:val="22"/>
          <w:szCs w:val="22"/>
        </w:rPr>
        <w:t xml:space="preserve">Un tableau recapitulatif presente tous les vendeurs avec :</w:t>
      </w:r>
    </w:p>
    <w:p>
      <w:pPr>
        <w:pStyle w:val="ListParagraph"/>
        <w:numPr>
          <w:ilvl w:val="0"/>
          <w:numId w:val="2"/>
        </w:numPr>
        <w:spacing w:after="60" w:before="40"/>
      </w:pPr>
      <w:r>
        <w:rPr>
          <w:rFonts w:ascii="Calibri" w:cs="Calibri" w:eastAsia="Calibri" w:hAnsi="Calibri"/>
          <w:color w:val="334155"/>
          <w:sz w:val="22"/>
          <w:szCs w:val="22"/>
        </w:rPr>
        <w:t xml:space="preserve">Nom, email, nom de boutique.</w:t>
      </w:r>
    </w:p>
    <w:p>
      <w:pPr>
        <w:pStyle w:val="ListParagraph"/>
        <w:numPr>
          <w:ilvl w:val="0"/>
          <w:numId w:val="2"/>
        </w:numPr>
        <w:spacing w:after="60" w:before="40"/>
      </w:pPr>
      <w:r>
        <w:rPr>
          <w:rFonts w:ascii="Calibri" w:cs="Calibri" w:eastAsia="Calibri" w:hAnsi="Calibri"/>
          <w:color w:val="334155"/>
          <w:sz w:val="22"/>
          <w:szCs w:val="22"/>
        </w:rPr>
        <w:t xml:space="preserve">Type de compte : badge bleu Individuel ou badge violet Entreprise.</w:t>
      </w:r>
    </w:p>
    <w:p>
      <w:pPr>
        <w:pStyle w:val="ListParagraph"/>
        <w:numPr>
          <w:ilvl w:val="0"/>
          <w:numId w:val="2"/>
        </w:numPr>
        <w:spacing w:after="60" w:before="40"/>
      </w:pPr>
      <w:r>
        <w:rPr>
          <w:rFonts w:ascii="Calibri" w:cs="Calibri" w:eastAsia="Calibri" w:hAnsi="Calibri"/>
          <w:color w:val="334155"/>
          <w:sz w:val="22"/>
          <w:szCs w:val="22"/>
        </w:rPr>
        <w:t xml:space="preserve">Modele de vente : Plateforme geree ou Autonome.</w:t>
      </w:r>
    </w:p>
    <w:p>
      <w:pPr>
        <w:pStyle w:val="ListParagraph"/>
        <w:numPr>
          <w:ilvl w:val="0"/>
          <w:numId w:val="2"/>
        </w:numPr>
        <w:spacing w:after="60" w:before="40"/>
      </w:pPr>
      <w:r>
        <w:rPr>
          <w:rFonts w:ascii="Calibri" w:cs="Calibri" w:eastAsia="Calibri" w:hAnsi="Calibri"/>
          <w:color w:val="334155"/>
          <w:sz w:val="22"/>
          <w:szCs w:val="22"/>
        </w:rPr>
        <w:t xml:space="preserve">Nombre de produits publies.</w:t>
      </w:r>
    </w:p>
    <w:p>
      <w:pPr>
        <w:pStyle w:val="ListParagraph"/>
        <w:numPr>
          <w:ilvl w:val="0"/>
          <w:numId w:val="2"/>
        </w:numPr>
        <w:spacing w:after="60" w:before="40"/>
      </w:pPr>
      <w:r>
        <w:rPr>
          <w:rFonts w:ascii="Calibri" w:cs="Calibri" w:eastAsia="Calibri" w:hAnsi="Calibri"/>
          <w:color w:val="334155"/>
          <w:sz w:val="22"/>
          <w:szCs w:val="22"/>
        </w:rPr>
        <w:t xml:space="preserve">Chiffre d'affaires total genere via la plateforme.</w:t>
      </w:r>
    </w:p>
    <w:p>
      <w:pPr>
        <w:pStyle w:val="ListParagraph"/>
        <w:numPr>
          <w:ilvl w:val="0"/>
          <w:numId w:val="2"/>
        </w:numPr>
        <w:spacing w:after="60" w:before="40"/>
      </w:pPr>
      <w:r>
        <w:rPr>
          <w:rFonts w:ascii="Calibri" w:cs="Calibri" w:eastAsia="Calibri" w:hAnsi="Calibri"/>
          <w:color w:val="334155"/>
          <w:sz w:val="22"/>
          <w:szCs w:val="22"/>
        </w:rPr>
        <w:t xml:space="preserve">Date d'inscription.</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Tableau de bord — Indicateurs ajoutes</w:t>
      </w:r>
    </w:p>
    <w:p>
      <w:pPr>
        <w:spacing w:after="120" w:before="40"/>
        <w:jc w:val="left"/>
      </w:pPr>
      <w:r>
        <w:rPr>
          <w:rFonts w:ascii="Calibri" w:cs="Calibri" w:eastAsia="Calibri" w:hAnsi="Calibri"/>
          <w:i w:val="false"/>
          <w:iCs w:val="false"/>
          <w:color w:val="334155"/>
          <w:sz w:val="22"/>
          <w:szCs w:val="22"/>
        </w:rPr>
        <w:t xml:space="preserve">La page principale du tableau de bord admin a ete enrichie avec le nombre total de vendeurs actifs et un bouton d'alerte en cas de candidatures en attente d'examen.</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9356"/>
      </w:tblGrid>
      <w:tr>
        <w:tc>
          <w:tcPr>
            <w:tcW w:type="dxa" w:w="390"/>
            <w:tcBorders>
              <w:top w:val="none" w:color="FFFFFF" w:sz="0"/>
              <w:left w:val="none" w:color="FFFFFF" w:sz="0"/>
              <w:bottom w:val="none" w:color="FFFFFF" w:sz="0"/>
              <w:right w:val="none" w:color="FFFFFF" w:sz="0"/>
            </w:tcBorders>
            <w:shd w:fill="FF6B2B" w:val="clear"/>
          </w:tcPr>
          <w:p>
            <w:pPr>
              <w:spacing w:after="120" w:before="0"/>
              <w:jc w:val="left"/>
            </w:pPr>
          </w:p>
        </w:tc>
        <w:tc>
          <w:tcPr>
            <w:tcW w:type="dxa" w:w="9356"/>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pPr>
              <w:spacing w:after="80" w:before="0"/>
            </w:pPr>
            <w:r>
              <w:rPr>
                <w:rFonts w:ascii="Calibri" w:cs="Calibri" w:eastAsia="Calibri" w:hAnsi="Calibri"/>
                <w:b/>
                <w:bCs/>
                <w:color w:val="92400E"/>
                <w:sz w:val="22"/>
                <w:szCs w:val="22"/>
              </w:rPr>
              <w:t xml:space="preserve">Notification automatique</w:t>
            </w:r>
          </w:p>
          <w:p>
            <w:pPr>
              <w:spacing w:after="0" w:before="0"/>
            </w:pPr>
            <w:r>
              <w:rPr>
                <w:rFonts w:ascii="Calibri" w:cs="Calibri" w:eastAsia="Calibri" w:hAnsi="Calibri"/>
                <w:color w:val="92400E"/>
                <w:sz w:val="21"/>
                <w:szCs w:val="21"/>
              </w:rPr>
              <w:t xml:space="preserve">Le menu lateral de l'administration affiche un badge orange sur le lien "Vendeurs" indiquant en temps reel le nombre de candidatures en attente. Ce badge disparait automatiquement quand toutes les demandes ont ete traitees.</w:t>
            </w:r>
          </w:p>
        </w:tc>
      </w:tr>
    </w:tbl>
    <w:p>
      <w:pPr>
        <w:spacing w:after="0" w:before="0"/>
      </w:pPr>
      <w:r>
        <w:br w:type="page"/>
      </w:r>
    </w:p>
    <w:p>
      <w:pPr>
        <w:pStyle w:val="Heading1"/>
        <w:pageBreakBefore/>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8 — Ameliorations de la caisse</w:t>
      </w:r>
    </w:p>
    <w:p>
      <w:pPr>
        <w:spacing w:after="40" w:before="0"/>
      </w:pPr>
      <w:r>
        <w:rPr>
          <w:rFonts w:ascii="Calibri" w:cs="Calibri" w:eastAsia="Calibri" w:hAnsi="Calibri"/>
          <w:i/>
          <w:iCs/>
          <w:color w:val="64748B"/>
          <w:sz w:val="20"/>
          <w:szCs w:val="20"/>
        </w:rPr>
        <w:t xml:space="preserve">Fichier : checkout.php</w:t>
      </w:r>
    </w:p>
    <w:p>
      <w:pPr>
        <w:spacing w:after="120" w:before="40"/>
        <w:jc w:val="both"/>
      </w:pPr>
      <w:r>
        <w:rPr>
          <w:rFonts w:ascii="Calibri" w:cs="Calibri" w:eastAsia="Calibri" w:hAnsi="Calibri"/>
          <w:i w:val="false"/>
          <w:iCs w:val="false"/>
          <w:color w:val="334155"/>
          <w:sz w:val="22"/>
          <w:szCs w:val="22"/>
        </w:rPr>
        <w:t xml:space="preserve">La page de finalisation de commande a ete restructuree pour integrer les nouvelles fonctionnalites tout en preservant l'experience utilisateur existante.</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Nouvelles fonctionnalites integrees</w:t>
      </w:r>
    </w:p>
    <w:p>
      <w:pPr>
        <w:pStyle w:val="ListParagraph"/>
        <w:numPr>
          <w:ilvl w:val="0"/>
          <w:numId w:val="2"/>
        </w:numPr>
        <w:spacing w:after="60" w:before="40"/>
      </w:pPr>
      <w:r>
        <w:rPr>
          <w:rFonts w:ascii="Calibri" w:cs="Calibri" w:eastAsia="Calibri" w:hAnsi="Calibri"/>
          <w:color w:val="334155"/>
          <w:sz w:val="22"/>
          <w:szCs w:val="22"/>
        </w:rPr>
        <w:t xml:space="preserve">Bloc fidelite conditionnel : affiche uniquement si l'acheteur est connecte et possede au moins 100 points. Permet de saisir le nombre de points a utiliser avec mise a jour dynamique du total.</w:t>
      </w:r>
    </w:p>
    <w:p>
      <w:pPr>
        <w:pStyle w:val="ListParagraph"/>
        <w:numPr>
          <w:ilvl w:val="0"/>
          <w:numId w:val="2"/>
        </w:numPr>
        <w:spacing w:after="60" w:before="40"/>
      </w:pPr>
      <w:r>
        <w:rPr>
          <w:rFonts w:ascii="Calibri" w:cs="Calibri" w:eastAsia="Calibri" w:hAnsi="Calibri"/>
          <w:color w:val="334155"/>
          <w:sz w:val="22"/>
          <w:szCs w:val="22"/>
        </w:rPr>
        <w:t xml:space="preserve">Message d'information points : pour les acheteurs connectes ayant moins de 100 points, un bandeau indique les points que la commande rapportera.</w:t>
      </w:r>
    </w:p>
    <w:p>
      <w:pPr>
        <w:pStyle w:val="ListParagraph"/>
        <w:numPr>
          <w:ilvl w:val="0"/>
          <w:numId w:val="2"/>
        </w:numPr>
        <w:spacing w:after="60" w:before="40"/>
      </w:pPr>
      <w:r>
        <w:rPr>
          <w:rFonts w:ascii="Calibri" w:cs="Calibri" w:eastAsia="Calibri" w:hAnsi="Calibri"/>
          <w:color w:val="334155"/>
          <w:sz w:val="22"/>
          <w:szCs w:val="22"/>
        </w:rPr>
        <w:t xml:space="preserve">Ligne de reduction dans le recapitulatif : si des points sont utilises, une ligne de reduction apparait avec le nombre de points et le montant deduit.</w:t>
      </w:r>
    </w:p>
    <w:p>
      <w:pPr>
        <w:pStyle w:val="ListParagraph"/>
        <w:numPr>
          <w:ilvl w:val="0"/>
          <w:numId w:val="2"/>
        </w:numPr>
        <w:spacing w:after="60" w:before="40"/>
      </w:pPr>
      <w:r>
        <w:rPr>
          <w:rFonts w:ascii="Calibri" w:cs="Calibri" w:eastAsia="Calibri" w:hAnsi="Calibri"/>
          <w:color w:val="334155"/>
          <w:sz w:val="22"/>
          <w:szCs w:val="22"/>
        </w:rPr>
        <w:t xml:space="preserve">Creation automatique des commissions : a la validation, les commissions dues sont calculees et enregistrees pour chaque produit vendeur present dans la commande.</w:t>
      </w:r>
    </w:p>
    <w:p>
      <w:pPr>
        <w:pStyle w:val="ListParagraph"/>
        <w:numPr>
          <w:ilvl w:val="0"/>
          <w:numId w:val="2"/>
        </w:numPr>
        <w:spacing w:after="60" w:before="40"/>
      </w:pPr>
      <w:r>
        <w:rPr>
          <w:rFonts w:ascii="Calibri" w:cs="Calibri" w:eastAsia="Calibri" w:hAnsi="Calibri"/>
          <w:color w:val="334155"/>
          <w:sz w:val="22"/>
          <w:szCs w:val="22"/>
        </w:rPr>
        <w:t xml:space="preserve">Credit automatique des points : les points gagnes sont credites immediatement apres validation, simultanement au debit des points utilises.</w:t>
      </w:r>
    </w:p>
    <w:p>
      <w:pPr>
        <w:pStyle w:val="ListParagraph"/>
        <w:numPr>
          <w:ilvl w:val="0"/>
          <w:numId w:val="2"/>
        </w:numPr>
        <w:spacing w:after="60" w:before="40"/>
      </w:pPr>
      <w:r>
        <w:rPr>
          <w:rFonts w:ascii="Calibri" w:cs="Calibri" w:eastAsia="Calibri" w:hAnsi="Calibri"/>
          <w:color w:val="334155"/>
          <w:sz w:val="22"/>
          <w:szCs w:val="22"/>
        </w:rPr>
        <w:t xml:space="preserve">Note de commande enrichie : le detail des points utilises et le montant de reduction sont enregistres dans la note de commande, visible par l'administrateur.</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Logique de calcul du total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tblHeader/>
        </w:trPr>
        <w:tc>
          <w:tcPr>
            <w:tcW w:type="dxa" w:w="3898"/>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Element</w:t>
            </w:r>
          </w:p>
        </w:tc>
        <w:tc>
          <w:tcPr>
            <w:tcW w:type="dxa" w:w="5848"/>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Calcul</w:t>
            </w:r>
          </w:p>
        </w:tc>
      </w:tr>
      <w:tr>
        <w:tc>
          <w:tcPr>
            <w:tcW w:type="dxa" w:w="389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584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898"/>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5848"/>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89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5848"/>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898"/>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Total a payer</w:t>
            </w:r>
          </w:p>
        </w:tc>
        <w:tc>
          <w:tcPr>
            <w:tcW w:type="dxa" w:w="5848"/>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Sous-total + Livraison — Reduction points (minimum 0)</w:t>
            </w:r>
          </w:p>
        </w:tc>
      </w:tr>
    </w:tbl>
    <w:p>
      <w:pPr>
        <w:spacing w:after="0" w:before="0"/>
      </w:pPr>
      <w:r>
        <w:br w:type="page"/>
      </w:r>
    </w:p>
    <w:p>
      <w:pPr>
        <w:pStyle w:val="Heading1"/>
        <w:pageBreakBefore/>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9 — Modifications de la base de donnees</w:t>
      </w:r>
    </w:p>
    <w:p>
      <w:pPr>
        <w:spacing w:after="40" w:before="0"/>
      </w:pPr>
      <w:r>
        <w:rPr>
          <w:rFonts w:ascii="Calibri" w:cs="Calibri" w:eastAsia="Calibri" w:hAnsi="Calibri"/>
          <w:i/>
          <w:iCs/>
          <w:color w:val="64748B"/>
          <w:sz w:val="20"/>
          <w:szCs w:val="20"/>
        </w:rPr>
        <w:t xml:space="preserve">Application automatique au premier chargement via includes/config.php</w:t>
      </w:r>
    </w:p>
    <w:p>
      <w:pPr>
        <w:spacing w:after="120" w:before="40"/>
        <w:jc w:val="both"/>
      </w:pPr>
      <w:r>
        <w:rPr>
          <w:rFonts w:ascii="Calibri" w:cs="Calibri" w:eastAsia="Calibri" w:hAnsi="Calibri"/>
          <w:i w:val="false"/>
          <w:iCs w:val="false"/>
          <w:color w:val="334155"/>
          <w:sz w:val="22"/>
          <w:szCs w:val="22"/>
        </w:rPr>
        <w:t xml:space="preserve">Toutes les modifications de la base de donnees sont appliquees automatiquement au premier chargement de l'application apres la mise a jour du code. Ce mecanisme utilise des instructions ALTER TABLE et CREATE TABLE IF NOT EXISTS encapsulees dans des blocs try/catch, garantissant qu'elles ne causent aucune erreur si elles ont deja ete appliquees.</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Nouvelles colonnes ajoutees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1462"/>
        <w:gridCol w:w="3996"/>
      </w:tblGrid>
      <w:tr>
        <w:trPr>
          <w:tblHeader/>
        </w:trPr>
        <w:tc>
          <w:tcPr>
            <w:tcW w:type="dxa" w:w="2144"/>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Table</w:t>
            </w:r>
          </w:p>
        </w:tc>
        <w:tc>
          <w:tcPr>
            <w:tcW w:type="dxa" w:w="2144"/>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Colonne</w:t>
            </w:r>
          </w:p>
        </w:tc>
        <w:tc>
          <w:tcPr>
            <w:tcW w:type="dxa" w:w="1462"/>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Type</w:t>
            </w:r>
          </w:p>
        </w:tc>
        <w:tc>
          <w:tcPr>
            <w:tcW w:type="dxa" w:w="399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46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39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14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14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46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399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46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39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14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14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46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399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46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39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14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14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46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399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46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39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14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14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462"/>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3996"/>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14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46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39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pStyle w:val="Heading2"/>
        <w:pBdr>
          <w:left w:val="single" w:color="FF6B2B" w:sz="16"/>
        </w:pBdr>
        <w:spacing w:after="100" w:before="280"/>
        <w:ind w:left="200"/>
      </w:pPr>
      <w:r>
        <w:rPr>
          <w:rFonts w:ascii="Calibri" w:cs="Calibri" w:eastAsia="Calibri" w:hAnsi="Calibri"/>
          <w:b/>
          <w:bCs/>
          <w:color w:val="1B2A41"/>
          <w:sz w:val="26"/>
          <w:szCs w:val="26"/>
        </w:rPr>
        <w:t xml:space="preserve">Nouvelle table : seller_applications</w:t>
      </w:r>
    </w:p>
    <w:p>
      <w:pPr>
        <w:spacing w:after="120" w:before="40"/>
        <w:jc w:val="left"/>
      </w:pPr>
      <w:r>
        <w:rPr>
          <w:rFonts w:ascii="Calibri" w:cs="Calibri" w:eastAsia="Calibri" w:hAnsi="Calibri"/>
          <w:i w:val="false"/>
          <w:iCs w:val="false"/>
          <w:color w:val="334155"/>
          <w:sz w:val="22"/>
          <w:szCs w:val="22"/>
        </w:rPr>
        <w:t xml:space="preserve">Stocke les candidatures des utilisateurs souhaitant devenir vendeurs.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729"/>
        <w:gridCol w:w="4581"/>
      </w:tblGrid>
      <w:tr>
        <w:trPr>
          <w:tblHeader/>
        </w:trPr>
        <w:tc>
          <w:tcPr>
            <w:tcW w:type="dxa" w:w="2437"/>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Colonne</w:t>
            </w:r>
          </w:p>
        </w:tc>
        <w:tc>
          <w:tcPr>
            <w:tcW w:type="dxa" w:w="2729"/>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Type</w:t>
            </w:r>
          </w:p>
        </w:tc>
        <w:tc>
          <w:tcPr>
            <w:tcW w:type="dxa" w:w="4581"/>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pStyle w:val="Heading2"/>
        <w:pBdr>
          <w:left w:val="single" w:color="FF6B2B" w:sz="16"/>
        </w:pBdr>
        <w:spacing w:after="100" w:before="280"/>
        <w:ind w:left="200"/>
      </w:pPr>
      <w:r>
        <w:rPr>
          <w:rFonts w:ascii="Calibri" w:cs="Calibri" w:eastAsia="Calibri" w:hAnsi="Calibri"/>
          <w:b/>
          <w:bCs/>
          <w:color w:val="1B2A41"/>
          <w:sz w:val="26"/>
          <w:szCs w:val="26"/>
        </w:rPr>
        <w:t xml:space="preserve">Nouvelle table : commissions</w:t>
      </w:r>
    </w:p>
    <w:p>
      <w:pPr>
        <w:spacing w:after="120" w:before="40"/>
        <w:jc w:val="left"/>
      </w:pPr>
      <w:r>
        <w:rPr>
          <w:rFonts w:ascii="Calibri" w:cs="Calibri" w:eastAsia="Calibri" w:hAnsi="Calibri"/>
          <w:i w:val="false"/>
          <w:iCs w:val="false"/>
          <w:color w:val="334155"/>
          <w:sz w:val="22"/>
          <w:szCs w:val="22"/>
        </w:rPr>
        <w:t xml:space="preserve">Enregistre toutes les commissions generees par les ventes des vendeurs partenaires.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729"/>
        <w:gridCol w:w="4581"/>
      </w:tblGrid>
      <w:tr>
        <w:trPr>
          <w:tblHeader/>
        </w:trPr>
        <w:tc>
          <w:tcPr>
            <w:tcW w:type="dxa" w:w="2437"/>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Colonne</w:t>
            </w:r>
          </w:p>
        </w:tc>
        <w:tc>
          <w:tcPr>
            <w:tcW w:type="dxa" w:w="2729"/>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Type</w:t>
            </w:r>
          </w:p>
        </w:tc>
        <w:tc>
          <w:tcPr>
            <w:tcW w:type="dxa" w:w="4581"/>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pStyle w:val="Heading2"/>
        <w:pBdr>
          <w:left w:val="single" w:color="FF6B2B" w:sz="16"/>
        </w:pBdr>
        <w:spacing w:after="100" w:before="280"/>
        <w:ind w:left="200"/>
      </w:pPr>
      <w:r>
        <w:rPr>
          <w:rFonts w:ascii="Calibri" w:cs="Calibri" w:eastAsia="Calibri" w:hAnsi="Calibri"/>
          <w:b/>
          <w:bCs/>
          <w:color w:val="1B2A41"/>
          <w:sz w:val="26"/>
          <w:szCs w:val="26"/>
        </w:rPr>
        <w:t xml:space="preserve">Nouvelle table : loyalty_transactions</w:t>
      </w:r>
    </w:p>
    <w:p>
      <w:pPr>
        <w:spacing w:after="120" w:before="40"/>
        <w:jc w:val="left"/>
      </w:pPr>
      <w:r>
        <w:rPr>
          <w:rFonts w:ascii="Calibri" w:cs="Calibri" w:eastAsia="Calibri" w:hAnsi="Calibri"/>
          <w:i w:val="false"/>
          <w:iCs w:val="false"/>
          <w:color w:val="334155"/>
          <w:sz w:val="22"/>
          <w:szCs w:val="22"/>
        </w:rPr>
        <w:t xml:space="preserve">Historique de tous les mouvements de points de fidelite (gains et utilisations).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5"/>
      </w:tblGrid>
      <w:tr>
        <w:trPr>
          <w:tblHeader/>
        </w:trPr>
        <w:tc>
          <w:tcPr>
            <w:tcW w:type="dxa" w:w="3411"/>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Colonne</w:t>
            </w:r>
          </w:p>
        </w:tc>
        <w:tc>
          <w:tcPr>
            <w:tcW w:type="dxa" w:w="6335"/>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341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633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41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633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41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633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41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6335"/>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41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633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spacing w:after="100" w:before="0"/>
      </w:pPr>
    </w:p>
    <w:p>
      <w:pPr>
        <w:pStyle w:val="Heading2"/>
        <w:pBdr>
          <w:left w:val="single" w:color="FF6B2B" w:sz="16"/>
        </w:pBdr>
        <w:spacing w:after="100" w:before="280"/>
        <w:ind w:left="200"/>
      </w:pPr>
      <w:r>
        <w:rPr>
          <w:rFonts w:ascii="Calibri" w:cs="Calibri" w:eastAsia="Calibri" w:hAnsi="Calibri"/>
          <w:b/>
          <w:bCs/>
          <w:color w:val="1B2A41"/>
          <w:sz w:val="26"/>
          <w:szCs w:val="26"/>
        </w:rPr>
        <w:t xml:space="preserve">Nouvelle table : platform_commissions</w:t>
      </w:r>
    </w:p>
    <w:p>
      <w:pPr>
        <w:spacing w:after="120" w:before="40"/>
        <w:jc w:val="left"/>
      </w:pPr>
      <w:r>
        <w:rPr>
          <w:rFonts w:ascii="Calibri" w:cs="Calibri" w:eastAsia="Calibri" w:hAnsi="Calibri"/>
          <w:i w:val="false"/>
          <w:iCs w:val="false"/>
          <w:color w:val="334155"/>
          <w:sz w:val="22"/>
          <w:szCs w:val="22"/>
        </w:rPr>
        <w:t xml:space="preserve">Enregistre les commissions prelevees par World Compass sur les ventes des vendeurs partenaires.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729"/>
        <w:gridCol w:w="4581"/>
      </w:tblGrid>
      <w:tr>
        <w:trPr>
          <w:tblHeader/>
        </w:trPr>
        <w:tc>
          <w:tcPr>
            <w:tcW w:type="dxa" w:w="2437"/>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Colonne</w:t>
            </w:r>
          </w:p>
        </w:tc>
        <w:tc>
          <w:tcPr>
            <w:tcW w:type="dxa" w:w="2729"/>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Type</w:t>
            </w:r>
          </w:p>
        </w:tc>
        <w:tc>
          <w:tcPr>
            <w:tcW w:type="dxa" w:w="4581"/>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2437"/>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272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581"/>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spacing w:after="100" w:before="0"/>
      </w:pPr>
    </w:p>
    <w:p>
      <w:pPr>
        <w:pStyle w:val="Heading2"/>
        <w:pBdr>
          <w:left w:val="single" w:color="FF6B2B" w:sz="16"/>
        </w:pBdr>
        <w:spacing w:after="100" w:before="280"/>
        <w:ind w:left="200"/>
      </w:pPr>
      <w:r>
        <w:rPr>
          <w:rFonts w:ascii="Calibri" w:cs="Calibri" w:eastAsia="Calibri" w:hAnsi="Calibri"/>
          <w:b/>
          <w:bCs/>
          <w:color w:val="1B2A41"/>
          <w:sz w:val="26"/>
          <w:szCs w:val="26"/>
        </w:rPr>
        <w:t xml:space="preserve">Nouveaux parametres de configuration (table settings)</w:t>
      </w:r>
    </w:p>
    <w:p>
      <w:pPr>
        <w:spacing w:after="120" w:before="40"/>
        <w:jc w:val="left"/>
      </w:pPr>
      <w:r>
        <w:rPr>
          <w:rFonts w:ascii="Calibri" w:cs="Calibri" w:eastAsia="Calibri" w:hAnsi="Calibri"/>
          <w:i w:val="false"/>
          <w:iCs w:val="false"/>
          <w:color w:val="334155"/>
          <w:sz w:val="22"/>
          <w:szCs w:val="22"/>
        </w:rPr>
        <w:t xml:space="preserve">Quatre nouvelles entrees sont ajoutees automatiquement dans la table settings lors du premier chargement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19"/>
        <w:gridCol w:w="1754"/>
        <w:gridCol w:w="4873"/>
      </w:tblGrid>
      <w:tr>
        <w:trPr>
          <w:tblHeader/>
        </w:trPr>
        <w:tc>
          <w:tcPr>
            <w:tcW w:type="dxa" w:w="3119"/>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Cle</w:t>
            </w:r>
          </w:p>
        </w:tc>
        <w:tc>
          <w:tcPr>
            <w:tcW w:type="dxa" w:w="1754"/>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Valeur par defaut</w:t>
            </w:r>
          </w:p>
        </w:tc>
        <w:tc>
          <w:tcPr>
            <w:tcW w:type="dxa" w:w="487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311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75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87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11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75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87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119"/>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754"/>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87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119"/>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1754"/>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c>
          <w:tcPr>
            <w:tcW w:type="dxa" w:w="487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spacing w:after="0" w:before="0"/>
      </w:pPr>
      <w:r>
        <w:br w:type="page"/>
      </w:r>
    </w:p>
    <w:p>
      <w:pPr>
        <w:pStyle w:val="Heading1"/>
        <w:pageBreakBefore/>
        <w:pBdr>
          <w:bottom w:val="single" w:color="FF6B2B" w:sz="3"/>
        </w:pBdr>
        <w:shd w:fill="1B2A41" w:val="clear"/>
        <w:spacing w:after="160" w:before="200"/>
        <w:ind w:left="240" w:right="240"/>
      </w:pPr>
      <w:r>
        <w:rPr>
          <w:rFonts w:ascii="Calibri" w:cs="Calibri" w:eastAsia="Calibri" w:hAnsi="Calibri"/>
          <w:b/>
          <w:bCs/>
          <w:color w:val="FFFFFF"/>
          <w:sz w:val="36"/>
          <w:szCs w:val="36"/>
        </w:rPr>
        <w:t xml:space="preserve">Section 10 — Recapitulatif des fichiers livres</w:t>
      </w:r>
    </w:p>
    <w:p>
      <w:pPr>
        <w:pStyle w:val="Heading2"/>
        <w:pBdr>
          <w:left w:val="single" w:color="FF6B2B" w:sz="16"/>
        </w:pBdr>
        <w:spacing w:after="100" w:before="280"/>
        <w:ind w:left="200"/>
      </w:pPr>
      <w:r>
        <w:rPr>
          <w:rFonts w:ascii="Calibri" w:cs="Calibri" w:eastAsia="Calibri" w:hAnsi="Calibri"/>
          <w:b/>
          <w:bCs/>
          <w:color w:val="1B2A41"/>
          <w:sz w:val="26"/>
          <w:szCs w:val="26"/>
        </w:rPr>
        <w:t xml:space="preserve">Nouveaux fichiers crees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Fichier</w:t>
            </w:r>
          </w:p>
        </w:tc>
        <w:tc>
          <w:tcPr>
            <w:tcW w:type="dxa" w:w="604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Description</w:t>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devenir-vendeur.php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ventes-flash.php</w:t>
            </w:r>
          </w:p>
        </w:tc>
        <w:tc>
          <w:tcPr>
            <w:tcW w:type="dxa" w:w="604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seller/index.php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seller/products.php</w:t>
            </w:r>
          </w:p>
        </w:tc>
        <w:tc>
          <w:tcPr>
            <w:tcW w:type="dxa" w:w="604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seller/orders.php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seller/commissions.php</w:t>
            </w:r>
          </w:p>
        </w:tc>
        <w:tc>
          <w:tcPr>
            <w:tcW w:type="dxa" w:w="604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admin/sellers.php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spacing w:after="100" w:before="0"/>
      </w:pPr>
    </w:p>
    <w:p>
      <w:pPr>
        <w:pStyle w:val="Heading2"/>
        <w:pBdr>
          <w:left w:val="single" w:color="FF6B2B" w:sz="16"/>
        </w:pBdr>
        <w:spacing w:after="100" w:before="280"/>
        <w:ind w:left="200"/>
      </w:pPr>
      <w:r>
        <w:rPr>
          <w:rFonts w:ascii="Calibri" w:cs="Calibri" w:eastAsia="Calibri" w:hAnsi="Calibri"/>
          <w:b/>
          <w:bCs/>
          <w:color w:val="1B2A41"/>
          <w:sz w:val="26"/>
          <w:szCs w:val="26"/>
        </w:rPr>
        <w:t xml:space="preserve">Fichiers existants modifies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Fichier</w:t>
            </w:r>
          </w:p>
        </w:tc>
        <w:tc>
          <w:tcPr>
            <w:tcW w:type="dxa" w:w="6043"/>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vAlign w:val="center"/>
          </w:tcPr>
          <w:p>
            <w:pPr>
              <w:spacing w:after="0" w:before="0"/>
            </w:pPr>
            <w:r>
              <w:rPr>
                <w:rFonts w:ascii="Calibri" w:cs="Calibri" w:eastAsia="Calibri" w:hAnsi="Calibri"/>
                <w:b/>
                <w:bCs/>
                <w:color w:val="FFFFFF"/>
                <w:sz w:val="20"/>
                <w:szCs w:val="20"/>
              </w:rPr>
              <w:t xml:space="preserve">Modifications apportees</w:t>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includes/config.php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includes/functions.php</w:t>
            </w:r>
          </w:p>
        </w:tc>
        <w:tc>
          <w:tcPr>
            <w:tcW w:type="dxa" w:w="604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includes/header.php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includes/footer.php</w:t>
            </w:r>
          </w:p>
        </w:tc>
        <w:tc>
          <w:tcPr>
            <w:tcW w:type="dxa" w:w="604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checkout.php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profile.php</w:t>
            </w:r>
          </w:p>
        </w:tc>
        <w:tc>
          <w:tcPr>
            <w:tcW w:type="dxa" w:w="604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admin/index.php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admin/products.php</w:t>
            </w:r>
          </w:p>
        </w:tc>
        <w:tc>
          <w:tcPr>
            <w:tcW w:type="dxa" w:w="604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admin/includes/admin_header.php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admin/settings.php</w:t>
            </w:r>
          </w:p>
        </w:tc>
        <w:tc>
          <w:tcPr>
            <w:tcW w:type="dxa" w:w="604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admin/sellers.php</w:t>
            </w:r>
          </w:p>
        </w:tc>
        <w:tc>
          <w:tcPr>
            <w:tcW w:type="dxa" w:w="6043"/>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r>
        <w:tc>
          <w:tcPr>
            <w:tcW w:type="dxa" w:w="370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t xml:space="preserve">assets/css/style.css</w:t>
            </w:r>
          </w:p>
        </w:tc>
        <w:tc>
          <w:tcPr>
            <w:tcW w:type="dxa" w:w="6043"/>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1B2A41"/>
                <w:sz w:val="20"/>
                <w:szCs w:val="20"/>
              </w:rPr>
            </w:r>
          </w:p>
        </w:tc>
      </w:tr>
    </w:tbl>
    <w:p>
      <w:pPr>
        <w:spacing w:after="100" w:before="0"/>
      </w:pPr>
    </w:p>
    <w:p>
      <w:pPr>
        <w:pStyle w:val="Heading2"/>
        <w:pBdr>
          <w:left w:val="single" w:color="FF6B2B" w:sz="16"/>
        </w:pBdr>
        <w:spacing w:after="100" w:before="280"/>
        <w:ind w:left="200"/>
      </w:pPr>
      <w:r>
        <w:rPr>
          <w:rFonts w:ascii="Calibri" w:cs="Calibri" w:eastAsia="Calibri" w:hAnsi="Calibri"/>
          <w:b/>
          <w:bCs/>
          <w:color w:val="1B2A41"/>
          <w:sz w:val="26"/>
          <w:szCs w:val="26"/>
        </w:rPr>
        <w:t xml:space="preserve">Validation technique</w:t>
      </w:r>
    </w:p>
    <w:p>
      <w:pPr>
        <w:spacing w:after="120" w:before="40"/>
        <w:jc w:val="left"/>
      </w:pPr>
      <w:r>
        <w:rPr>
          <w:rFonts w:ascii="Calibri" w:cs="Calibri" w:eastAsia="Calibri" w:hAnsi="Calibri"/>
          <w:i w:val="false"/>
          <w:iCs w:val="false"/>
          <w:color w:val="334155"/>
          <w:sz w:val="22"/>
          <w:szCs w:val="22"/>
        </w:rPr>
        <w:t xml:space="preserve">L'ensemble des fichiers PHP livres a ete valide sans erreur de syntaxe (php -l). Les validations fonctionnelles couvrent :</w:t>
      </w:r>
    </w:p>
    <w:p>
      <w:pPr>
        <w:pStyle w:val="ListParagraph"/>
        <w:numPr>
          <w:ilvl w:val="0"/>
          <w:numId w:val="2"/>
        </w:numPr>
        <w:spacing w:after="60" w:before="40"/>
      </w:pPr>
      <w:r>
        <w:rPr>
          <w:rFonts w:ascii="Calibri" w:cs="Calibri" w:eastAsia="Calibri" w:hAnsi="Calibri"/>
          <w:color w:val="334155"/>
          <w:sz w:val="22"/>
          <w:szCs w:val="22"/>
        </w:rPr>
        <w:t xml:space="preserve">Flux de candidature vendeur complet : selection du type de compte (Individuel/Entreprise), soumission, examen admin avec affichage des frais, activation.</w:t>
      </w:r>
    </w:p>
    <w:p>
      <w:pPr>
        <w:pStyle w:val="ListParagraph"/>
        <w:numPr>
          <w:ilvl w:val="0"/>
          <w:numId w:val="2"/>
        </w:numPr>
        <w:spacing w:after="60" w:before="40"/>
      </w:pPr>
      <w:r>
        <w:rPr>
          <w:rFonts w:ascii="Calibri" w:cs="Calibri" w:eastAsia="Calibri" w:hAnsi="Calibri"/>
          <w:color w:val="334155"/>
          <w:sz w:val="22"/>
          <w:szCs w:val="22"/>
        </w:rPr>
        <w:t xml:space="preserve">Modification des frais d'ouverture depuis admin/settings.php avec prise d'effet immediate sur la page de candidature.</w:t>
      </w:r>
    </w:p>
    <w:p>
      <w:pPr>
        <w:pStyle w:val="ListParagraph"/>
        <w:numPr>
          <w:ilvl w:val="0"/>
          <w:numId w:val="2"/>
        </w:numPr>
        <w:spacing w:after="60" w:before="40"/>
      </w:pPr>
      <w:r>
        <w:rPr>
          <w:rFonts w:ascii="Calibri" w:cs="Calibri" w:eastAsia="Calibri" w:hAnsi="Calibri"/>
          <w:color w:val="334155"/>
          <w:sz w:val="22"/>
          <w:szCs w:val="22"/>
        </w:rPr>
        <w:t xml:space="preserve">Commission plateforme : activation, desactivation via toggle, modification du taux, enregistrement dans platform_commissions a chaque commande vendeur.</w:t>
      </w:r>
    </w:p>
    <w:p>
      <w:pPr>
        <w:pStyle w:val="ListParagraph"/>
        <w:numPr>
          <w:ilvl w:val="0"/>
          <w:numId w:val="2"/>
        </w:numPr>
        <w:spacing w:after="60" w:before="40"/>
      </w:pPr>
      <w:r>
        <w:rPr>
          <w:rFonts w:ascii="Calibri" w:cs="Calibri" w:eastAsia="Calibri" w:hAnsi="Calibri"/>
          <w:color w:val="334155"/>
          <w:sz w:val="22"/>
          <w:szCs w:val="22"/>
        </w:rPr>
        <w:t xml:space="preserve">Ajout et modification de produit avec upload de photo depuis l'espace vendeur.</w:t>
      </w:r>
    </w:p>
    <w:p>
      <w:pPr>
        <w:pStyle w:val="ListParagraph"/>
        <w:numPr>
          <w:ilvl w:val="0"/>
          <w:numId w:val="2"/>
        </w:numPr>
        <w:spacing w:after="60" w:before="40"/>
      </w:pPr>
      <w:r>
        <w:rPr>
          <w:rFonts w:ascii="Calibri" w:cs="Calibri" w:eastAsia="Calibri" w:hAnsi="Calibri"/>
          <w:color w:val="334155"/>
          <w:sz w:val="22"/>
          <w:szCs w:val="22"/>
        </w:rPr>
        <w:t xml:space="preserve">Activation d'une vente flash et affichage du countdown sur les cartes produits.</w:t>
      </w:r>
    </w:p>
    <w:p>
      <w:pPr>
        <w:pStyle w:val="ListParagraph"/>
        <w:numPr>
          <w:ilvl w:val="0"/>
          <w:numId w:val="2"/>
        </w:numPr>
        <w:spacing w:after="60" w:before="40"/>
      </w:pPr>
      <w:r>
        <w:rPr>
          <w:rFonts w:ascii="Calibri" w:cs="Calibri" w:eastAsia="Calibri" w:hAnsi="Calibri"/>
          <w:color w:val="334155"/>
          <w:sz w:val="22"/>
          <w:szCs w:val="22"/>
        </w:rPr>
        <w:t xml:space="preserve">Accumulation et utilisation des points de fidelite a la caisse.</w:t>
      </w:r>
    </w:p>
    <w:p>
      <w:pPr>
        <w:pStyle w:val="ListParagraph"/>
        <w:numPr>
          <w:ilvl w:val="0"/>
          <w:numId w:val="2"/>
        </w:numPr>
        <w:spacing w:after="60" w:before="40"/>
      </w:pPr>
      <w:r>
        <w:rPr>
          <w:rFonts w:ascii="Calibri" w:cs="Calibri" w:eastAsia="Calibri" w:hAnsi="Calibri"/>
          <w:color w:val="334155"/>
          <w:sz w:val="22"/>
          <w:szCs w:val="22"/>
        </w:rPr>
        <w:t xml:space="preserve">Generation automatique des commissions vendeur et plateforme lors d'une commande.</w:t>
      </w:r>
    </w:p>
    <w:p>
      <w:pPr>
        <w:pStyle w:val="ListParagraph"/>
        <w:numPr>
          <w:ilvl w:val="0"/>
          <w:numId w:val="2"/>
        </w:numPr>
        <w:spacing w:after="60" w:before="40"/>
      </w:pPr>
      <w:r>
        <w:rPr>
          <w:rFonts w:ascii="Calibri" w:cs="Calibri" w:eastAsia="Calibri" w:hAnsi="Calibri"/>
          <w:color w:val="334155"/>
          <w:sz w:val="22"/>
          <w:szCs w:val="22"/>
        </w:rPr>
        <w:t xml:space="preserve">Protection des acces : un vendeur ne peut voir et modifier que ses propres produits.</w:t>
      </w:r>
    </w:p>
    <w:p>
      <w:pPr>
        <w:pStyle w:val="ListParagraph"/>
        <w:numPr>
          <w:ilvl w:val="0"/>
          <w:numId w:val="2"/>
        </w:numPr>
        <w:spacing w:after="60" w:before="40"/>
      </w:pPr>
      <w:r>
        <w:rPr>
          <w:rFonts w:ascii="Calibri" w:cs="Calibri" w:eastAsia="Calibri" w:hAnsi="Calibri"/>
          <w:color w:val="334155"/>
          <w:sz w:val="22"/>
          <w:szCs w:val="22"/>
        </w:rPr>
        <w:t xml:space="preserve">Compatibilite avec les utilisateurs non connectes (panier anonyme, pas de fidelite).</w:t>
      </w:r>
    </w:p>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9356"/>
      </w:tblGrid>
      <w:tr>
        <w:tc>
          <w:tcPr>
            <w:tcW w:type="dxa" w:w="390"/>
            <w:tcBorders>
              <w:top w:val="none" w:color="FFFFFF" w:sz="0"/>
              <w:left w:val="none" w:color="FFFFFF" w:sz="0"/>
              <w:bottom w:val="none" w:color="FFFFFF" w:sz="0"/>
              <w:right w:val="none" w:color="FFFFFF" w:sz="0"/>
            </w:tcBorders>
            <w:shd w:fill="FF6B2B" w:val="clear"/>
          </w:tcPr>
          <w:p>
            <w:pPr>
              <w:spacing w:after="120" w:before="0"/>
              <w:jc w:val="left"/>
            </w:pPr>
          </w:p>
        </w:tc>
        <w:tc>
          <w:tcPr>
            <w:tcW w:type="dxa" w:w="9356"/>
            <w:tcBorders>
              <w:top w:val="none" w:color="FFFFFF" w:sz="0"/>
              <w:left w:val="none" w:color="FFFFFF" w:sz="0"/>
              <w:bottom w:val="none" w:color="FFFFFF" w:sz="0"/>
              <w:right w:val="none" w:color="FFFFFF" w:sz="0"/>
            </w:tcBorders>
            <w:shd w:fill="D1FAE5" w:val="clear"/>
            <w:tcMar>
              <w:top w:type="dxa" w:w="120"/>
              <w:left w:type="dxa" w:w="180"/>
              <w:bottom w:type="dxa" w:w="120"/>
              <w:right w:type="dxa" w:w="180"/>
            </w:tcMar>
          </w:tcPr>
          <w:p>
            <w:pPr>
              <w:spacing w:after="80" w:before="0"/>
            </w:pPr>
            <w:r>
              <w:rPr>
                <w:rFonts w:ascii="Calibri" w:cs="Calibri" w:eastAsia="Calibri" w:hAnsi="Calibri"/>
                <w:b/>
                <w:bCs/>
                <w:color w:val="065F46"/>
                <w:sz w:val="22"/>
                <w:szCs w:val="22"/>
              </w:rPr>
              <w:t xml:space="preserve">Migration sans interruption</w:t>
            </w:r>
          </w:p>
          <w:p>
            <w:pPr>
              <w:spacing w:after="0" w:before="0"/>
            </w:pPr>
            <w:r>
              <w:rPr>
                <w:rFonts w:ascii="Calibri" w:cs="Calibri" w:eastAsia="Calibri" w:hAnsi="Calibri"/>
                <w:color w:val="065F46"/>
                <w:sz w:val="21"/>
                <w:szCs w:val="21"/>
              </w:rPr>
              <w:t xml:space="preserve">Aucune intervention manuelle sur la base de donnees n'est requise. Toutes les modifications structurelles sont appliquees automatiquement et silencieusement au premier chargement suivant la mise a jour du code. La plateforme reste entierement operationnelle pendant et apres la mise a jour.</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after="0" w:before="120"/>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Confidentiel — World Compass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1" w:sz="4"/>
      </w:pBdr>
      <w:spacing w:after="120" w:before="0"/>
      <w:jc w:val="right"/>
    </w:pPr>
    <w:r>
      <w:rPr>
        <w:rFonts w:ascii="Calibri" w:cs="Calibri" w:eastAsia="Calibri" w:hAnsi="Calibri"/>
        <w:b/>
        <w:bCs/>
        <w:color w:val="1B2A41"/>
        <w:sz w:val="18"/>
        <w:szCs w:val="18"/>
      </w:rPr>
      <w:t xml:space="preserve">WORLD COMPASS</w:t>
    </w:r>
    <w:r>
      <w:rPr>
        <w:rFonts w:ascii="Calibri" w:cs="Calibri" w:eastAsia="Calibri" w:hAnsi="Calibri"/>
        <w:color w:val="64748B"/>
        <w:sz w:val="18"/>
        <w:szCs w:val="18"/>
      </w:rPr>
      <w:t xml:space="preserve">   |   Documentation Technique v2.1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B2A41"/>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2026-04-17T10:33:33.759Z</dcterms:created>
  <dcterms:modified xsi:type="dcterms:W3CDTF">2026-04-17T10:33:33.759Z</dcterms:modified>
</cp:coreProperties>
</file>

<file path=docProps/custom.xml><?xml version="1.0" encoding="utf-8"?>
<Properties xmlns="http://schemas.openxmlformats.org/officeDocument/2006/custom-properties" xmlns:vt="http://schemas.openxmlformats.org/officeDocument/2006/docPropsVTypes"/>
</file>