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IP address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Accelerator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Performance &amp; Network differences between 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EC2 with Global accelerator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EC2 with CloudFront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EC2 launch Configuration 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more advanced work :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Advanced network configuration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The system health check success doesn’t mean that the instance is running (reachable) 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=&gt; we should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u w:val="single"/>
          <w:rtl w:val="0"/>
        </w:rPr>
        <w:t xml:space="preserve">check the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u w:val="single"/>
          <w:rtl w:val="0"/>
        </w:rPr>
        <w:t xml:space="preserve">instance health check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u w:val="single"/>
          <w:rtl w:val="0"/>
        </w:rPr>
        <w:t xml:space="preserve">access it via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u w:val="single"/>
          <w:rtl w:val="0"/>
        </w:rPr>
        <w:t xml:space="preserve">the public @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Global Accelerator Configuration 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619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Client affinity ? (while creating a listener ) : as i understood : it specifies whether we indicate a specific destination or not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6191f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In our case we do not have multiple destinations =&gt; we leave at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highlight w:val="white"/>
          <w:rtl w:val="0"/>
        </w:rPr>
        <w:t xml:space="preserve">none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