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36"/>
        </w:rPr>
        <w:t>TP 3 — Consensus et architectures de blockchain</w:t>
      </w:r>
    </w:p>
    <w:p>
      <w:pPr>
        <w:jc w:val="center"/>
      </w:pPr>
      <w:r>
        <w:rPr>
          <w:i/>
          <w:sz w:val="20"/>
        </w:rPr>
        <w:t>Mini-blockchain en Python, preuve de travail, attaque des 51 % et preuve d’enjeu</w:t>
      </w:r>
    </w:p>
    <w:p>
      <w:pPr>
        <w:jc w:val="center"/>
      </w:pPr>
      <w:r>
        <w:rPr>
          <w:sz w:val="18"/>
        </w:rPr>
        <w:t>Nom : ........................................   Groupe : ................   Date : ................</w:t>
      </w:r>
    </w:p>
    <w:p>
      <w:pPr>
        <w:pStyle w:val="Heading1"/>
      </w:pPr>
      <w:r>
        <w:t>1. Objectif</w:t>
      </w:r>
    </w:p>
    <w:p>
      <w:r>
        <w:t>L’objectif de ce TP est de construire une mini-blockchain en Python, de vérifier l’intégrité des blocs, d’observer le coût de la preuve de travail (PoW), de simuler une attaque et de comparer PoW à la preuve d’enjeu (PoS).</w:t>
      </w:r>
    </w:p>
    <w:p>
      <w:pPr>
        <w:pStyle w:val="Heading1"/>
      </w:pPr>
      <w:r>
        <w:t>2. Création des blocs et intégrité de la chaîne</w:t>
      </w:r>
    </w:p>
    <w:p>
      <w:r>
        <w:t>Chaque bloc contient notamment son index, son horodatage, ses données, le hash du bloc précédent, un nonce et son propre hash SHA-256. Le hash obtenu a une longueur de 64 caractères hexadécimaux. Le bloc génésis change d’un lancement à l’autre car son horodatage est courant, tandis que les blocs de test ayant des valeurs fixes produisent les mêmes hash.</w:t>
      </w:r>
    </w:p>
    <w:p>
      <w:r>
        <w:t>La modification des données d’un bloc rend la chaîne invalide. Recalculer simplement les hash permet de rétablir la cohérence des liens dans la version sans preuve de travail, mais ne suffit plus lorsque la validation exige également un minage valide.</w:t>
      </w:r>
    </w:p>
    <w:tbl>
      <w:tblPr>
        <w:tblStyle w:val="TableGrid"/>
        <w:tblW w:type="auto" w:w="0"/>
        <w:jc w:val="center"/>
        <w:tblLook w:firstColumn="1" w:firstRow="1" w:lastColumn="0" w:lastRow="0" w:noHBand="0" w:noVBand="1" w:val="04A0"/>
      </w:tblPr>
      <w:tblGrid>
        <w:gridCol w:w="3360"/>
        <w:gridCol w:w="3360"/>
        <w:gridCol w:w="3360"/>
      </w:tblGrid>
      <w:tr>
        <w:tc>
          <w:tcPr>
            <w:tcW w:type="dxa" w:w="1872"/>
            <w:vAlign w:val="center"/>
            <w:shd w:fill="D9EAF7"/>
          </w:tcPr>
          <w:p>
            <w:pPr>
              <w:spacing w:after="0"/>
            </w:pPr>
            <w:r/>
            <w:r>
              <w:rPr>
                <w:rFonts w:ascii="Arial" w:hAnsi="Arial"/>
                <w:b/>
                <w:sz w:val="17"/>
              </w:rPr>
              <w:t>Difficulté</w:t>
            </w:r>
          </w:p>
        </w:tc>
        <w:tc>
          <w:tcPr>
            <w:tcW w:type="dxa" w:w="2304"/>
            <w:vAlign w:val="center"/>
            <w:shd w:fill="D9EAF7"/>
          </w:tcPr>
          <w:p>
            <w:pPr>
              <w:spacing w:after="0"/>
            </w:pPr>
            <w:r/>
            <w:r>
              <w:rPr>
                <w:rFonts w:ascii="Arial" w:hAnsi="Arial"/>
                <w:b/>
                <w:sz w:val="17"/>
              </w:rPr>
              <w:t>Nonce trouvé</w:t>
            </w:r>
          </w:p>
        </w:tc>
        <w:tc>
          <w:tcPr>
            <w:tcW w:type="dxa" w:w="2304"/>
            <w:vAlign w:val="center"/>
            <w:shd w:fill="D9EAF7"/>
          </w:tcPr>
          <w:p>
            <w:pPr>
              <w:spacing w:after="0"/>
            </w:pPr>
            <w:r/>
            <w:r>
              <w:rPr>
                <w:rFonts w:ascii="Arial" w:hAnsi="Arial"/>
                <w:b/>
                <w:sz w:val="17"/>
              </w:rPr>
              <w:t>Temps mesuré</w:t>
            </w:r>
          </w:p>
        </w:tc>
      </w:tr>
      <w:tr>
        <w:tc>
          <w:tcPr>
            <w:tcW w:type="dxa" w:w="1872"/>
            <w:vAlign w:val="center"/>
          </w:tcPr>
          <w:p>
            <w:pPr>
              <w:spacing w:after="0"/>
            </w:pPr>
            <w:r/>
            <w:r>
              <w:rPr>
                <w:rFonts w:ascii="Arial" w:hAnsi="Arial"/>
                <w:b w:val="0"/>
                <w:sz w:val="17"/>
              </w:rPr>
              <w:t>2</w:t>
            </w:r>
          </w:p>
        </w:tc>
        <w:tc>
          <w:tcPr>
            <w:tcW w:type="dxa" w:w="2304"/>
            <w:vAlign w:val="center"/>
          </w:tcPr>
          <w:p>
            <w:pPr>
              <w:spacing w:after="0"/>
            </w:pPr>
            <w:r/>
            <w:r>
              <w:rPr>
                <w:rFonts w:ascii="Arial" w:hAnsi="Arial"/>
                <w:b w:val="0"/>
                <w:sz w:val="17"/>
              </w:rPr>
              <w:t>75</w:t>
            </w:r>
          </w:p>
        </w:tc>
        <w:tc>
          <w:tcPr>
            <w:tcW w:type="dxa" w:w="2304"/>
            <w:vAlign w:val="center"/>
          </w:tcPr>
          <w:p>
            <w:pPr>
              <w:spacing w:after="0"/>
            </w:pPr>
            <w:r/>
            <w:r>
              <w:rPr>
                <w:rFonts w:ascii="Arial" w:hAnsi="Arial"/>
                <w:b w:val="0"/>
                <w:sz w:val="17"/>
              </w:rPr>
              <w:t>0,0004 s</w:t>
            </w:r>
          </w:p>
        </w:tc>
      </w:tr>
      <w:tr>
        <w:tc>
          <w:tcPr>
            <w:tcW w:type="dxa" w:w="1872"/>
            <w:vAlign w:val="center"/>
          </w:tcPr>
          <w:p>
            <w:pPr>
              <w:spacing w:after="0"/>
            </w:pPr>
            <w:r/>
            <w:r>
              <w:rPr>
                <w:rFonts w:ascii="Arial" w:hAnsi="Arial"/>
                <w:b w:val="0"/>
                <w:sz w:val="17"/>
              </w:rPr>
              <w:t>3</w:t>
            </w:r>
          </w:p>
        </w:tc>
        <w:tc>
          <w:tcPr>
            <w:tcW w:type="dxa" w:w="2304"/>
            <w:vAlign w:val="center"/>
          </w:tcPr>
          <w:p>
            <w:pPr>
              <w:spacing w:after="0"/>
            </w:pPr>
            <w:r/>
            <w:r>
              <w:rPr>
                <w:rFonts w:ascii="Arial" w:hAnsi="Arial"/>
                <w:b w:val="0"/>
                <w:sz w:val="17"/>
              </w:rPr>
              <w:t>2 842</w:t>
            </w:r>
          </w:p>
        </w:tc>
        <w:tc>
          <w:tcPr>
            <w:tcW w:type="dxa" w:w="2304"/>
            <w:vAlign w:val="center"/>
          </w:tcPr>
          <w:p>
            <w:pPr>
              <w:spacing w:after="0"/>
            </w:pPr>
            <w:r/>
            <w:r>
              <w:rPr>
                <w:rFonts w:ascii="Arial" w:hAnsi="Arial"/>
                <w:b w:val="0"/>
                <w:sz w:val="17"/>
              </w:rPr>
              <w:t>0,0032 s</w:t>
            </w:r>
          </w:p>
        </w:tc>
      </w:tr>
      <w:tr>
        <w:tc>
          <w:tcPr>
            <w:tcW w:type="dxa" w:w="1872"/>
            <w:vAlign w:val="center"/>
          </w:tcPr>
          <w:p>
            <w:pPr>
              <w:spacing w:after="0"/>
            </w:pPr>
            <w:r/>
            <w:r>
              <w:rPr>
                <w:rFonts w:ascii="Arial" w:hAnsi="Arial"/>
                <w:b w:val="0"/>
                <w:sz w:val="17"/>
              </w:rPr>
              <w:t>4</w:t>
            </w:r>
          </w:p>
        </w:tc>
        <w:tc>
          <w:tcPr>
            <w:tcW w:type="dxa" w:w="2304"/>
            <w:vAlign w:val="center"/>
          </w:tcPr>
          <w:p>
            <w:pPr>
              <w:spacing w:after="0"/>
            </w:pPr>
            <w:r/>
            <w:r>
              <w:rPr>
                <w:rFonts w:ascii="Arial" w:hAnsi="Arial"/>
                <w:b w:val="0"/>
                <w:sz w:val="17"/>
              </w:rPr>
              <w:t>102 802</w:t>
            </w:r>
          </w:p>
        </w:tc>
        <w:tc>
          <w:tcPr>
            <w:tcW w:type="dxa" w:w="2304"/>
            <w:vAlign w:val="center"/>
          </w:tcPr>
          <w:p>
            <w:pPr>
              <w:spacing w:after="0"/>
            </w:pPr>
            <w:r/>
            <w:r>
              <w:rPr>
                <w:rFonts w:ascii="Arial" w:hAnsi="Arial"/>
                <w:b w:val="0"/>
                <w:sz w:val="17"/>
              </w:rPr>
              <w:t>0,1478 s</w:t>
            </w:r>
          </w:p>
        </w:tc>
      </w:tr>
      <w:tr>
        <w:tc>
          <w:tcPr>
            <w:tcW w:type="dxa" w:w="1872"/>
            <w:vAlign w:val="center"/>
          </w:tcPr>
          <w:p>
            <w:pPr>
              <w:spacing w:after="0"/>
            </w:pPr>
            <w:r/>
            <w:r>
              <w:rPr>
                <w:rFonts w:ascii="Arial" w:hAnsi="Arial"/>
                <w:b w:val="0"/>
                <w:sz w:val="17"/>
              </w:rPr>
              <w:t>5</w:t>
            </w:r>
          </w:p>
        </w:tc>
        <w:tc>
          <w:tcPr>
            <w:tcW w:type="dxa" w:w="2304"/>
            <w:vAlign w:val="center"/>
          </w:tcPr>
          <w:p>
            <w:pPr>
              <w:spacing w:after="0"/>
            </w:pPr>
            <w:r/>
            <w:r>
              <w:rPr>
                <w:rFonts w:ascii="Arial" w:hAnsi="Arial"/>
                <w:b w:val="0"/>
                <w:sz w:val="17"/>
              </w:rPr>
              <w:t>848 331</w:t>
            </w:r>
          </w:p>
        </w:tc>
        <w:tc>
          <w:tcPr>
            <w:tcW w:type="dxa" w:w="2304"/>
            <w:vAlign w:val="center"/>
          </w:tcPr>
          <w:p>
            <w:pPr>
              <w:spacing w:after="0"/>
            </w:pPr>
            <w:r/>
            <w:r>
              <w:rPr>
                <w:rFonts w:ascii="Arial" w:hAnsi="Arial"/>
                <w:b w:val="0"/>
                <w:sz w:val="17"/>
              </w:rPr>
              <w:t>1,3391 s</w:t>
            </w:r>
          </w:p>
        </w:tc>
      </w:tr>
      <w:tr>
        <w:tc>
          <w:tcPr>
            <w:tcW w:type="dxa" w:w="1872"/>
            <w:vAlign w:val="center"/>
          </w:tcPr>
          <w:p>
            <w:pPr>
              <w:spacing w:after="0"/>
            </w:pPr>
            <w:r/>
            <w:r>
              <w:rPr>
                <w:rFonts w:ascii="Arial" w:hAnsi="Arial"/>
                <w:b w:val="0"/>
                <w:sz w:val="17"/>
              </w:rPr>
              <w:t>6</w:t>
            </w:r>
          </w:p>
        </w:tc>
        <w:tc>
          <w:tcPr>
            <w:tcW w:type="dxa" w:w="2304"/>
            <w:vAlign w:val="center"/>
          </w:tcPr>
          <w:p>
            <w:pPr>
              <w:spacing w:after="0"/>
            </w:pPr>
            <w:r/>
            <w:r>
              <w:rPr>
                <w:rFonts w:ascii="Arial" w:hAnsi="Arial"/>
                <w:b w:val="0"/>
                <w:sz w:val="17"/>
              </w:rPr>
              <w:t>6 271 614</w:t>
            </w:r>
          </w:p>
        </w:tc>
        <w:tc>
          <w:tcPr>
            <w:tcW w:type="dxa" w:w="2304"/>
            <w:vAlign w:val="center"/>
          </w:tcPr>
          <w:p>
            <w:pPr>
              <w:spacing w:after="0"/>
            </w:pPr>
            <w:r/>
            <w:r>
              <w:rPr>
                <w:rFonts w:ascii="Arial" w:hAnsi="Arial"/>
                <w:b w:val="0"/>
                <w:sz w:val="17"/>
              </w:rPr>
              <w:t>8,1553 s</w:t>
            </w:r>
          </w:p>
        </w:tc>
      </w:tr>
    </w:tbl>
    <w:p>
      <w:pPr>
        <w:spacing w:after="0"/>
      </w:pPr>
    </w:p>
    <w:p>
      <w:r>
        <w:t>Les mesures montrent que le temps de minage augmente fortement avec la difficulté. Le nombre d’essais attendu est de l’ordre de 16^d, mais les résultats réels varient car le minage repose sur une recherche par essais successifs.</w:t>
      </w:r>
    </w:p>
    <w:p>
      <w:pPr>
        <w:pStyle w:val="Heading1"/>
      </w:pPr>
      <w:r>
        <w:t>3. Falsification et preuve de travail</w:t>
      </w:r>
    </w:p>
    <w:p>
      <w:r>
        <w:t>Avec une difficulté de 4, la chaîne est valide avant falsification. Après modification des données, elle devient invalide. Le recalcul des hash sans minage ne rétablit pas la validité. Après minage du bloc modifié et des blocs suivants, la chaîne redevient valide. Dans l’essai réalisé, le re-minage des blocs suivants a pris 0,1995 s.</w:t>
      </w:r>
    </w:p>
    <w:p>
      <w:r>
        <w:t>Pour une chaîne de 1 000 blocs après le bloc génésis, une modification au début oblige à re-miner les blocs suivants. À titre indicatif, les mesures de difficulté 4 et 6 donnent respectivement environ 148 secondes (2 min 28 s) et 8 155 secondes (2 h 16 min) pour 1 000 blocs, sans compter les variations de performance.</w:t>
      </w:r>
    </w:p>
    <w:p>
      <w:pPr>
        <w:pStyle w:val="Heading1"/>
      </w:pPr>
      <w:r>
        <w:t>4. Simulation de l’attaque des 51 %</w:t>
      </w:r>
    </w:p>
    <w:tbl>
      <w:tblPr>
        <w:tblStyle w:val="TableGrid"/>
        <w:tblW w:type="auto" w:w="0"/>
        <w:jc w:val="center"/>
        <w:tblLook w:firstColumn="1" w:firstRow="1" w:lastColumn="0" w:lastRow="0" w:noHBand="0" w:noVBand="1" w:val="04A0"/>
      </w:tblPr>
      <w:tblGrid>
        <w:gridCol w:w="5040"/>
        <w:gridCol w:w="5040"/>
      </w:tblGrid>
      <w:tr>
        <w:tc>
          <w:tcPr>
            <w:tcW w:type="dxa" w:w="3600"/>
            <w:vAlign w:val="center"/>
            <w:shd w:fill="D9EAF7"/>
          </w:tcPr>
          <w:p>
            <w:pPr>
              <w:spacing w:after="0"/>
            </w:pPr>
            <w:r/>
            <w:r>
              <w:rPr>
                <w:rFonts w:ascii="Arial" w:hAnsi="Arial"/>
                <w:b/>
                <w:sz w:val="17"/>
              </w:rPr>
              <w:t>Part de l’attaquant</w:t>
            </w:r>
          </w:p>
        </w:tc>
        <w:tc>
          <w:tcPr>
            <w:tcW w:type="dxa" w:w="3312"/>
            <w:vAlign w:val="center"/>
            <w:shd w:fill="D9EAF7"/>
          </w:tcPr>
          <w:p>
            <w:pPr>
              <w:spacing w:after="0"/>
            </w:pPr>
            <w:r/>
            <w:r>
              <w:rPr>
                <w:rFonts w:ascii="Arial" w:hAnsi="Arial"/>
                <w:b/>
                <w:sz w:val="17"/>
              </w:rPr>
              <w:t>Réussite observée</w:t>
            </w:r>
          </w:p>
        </w:tc>
      </w:tr>
      <w:tr>
        <w:tc>
          <w:tcPr>
            <w:tcW w:type="dxa" w:w="3600"/>
            <w:vAlign w:val="center"/>
          </w:tcPr>
          <w:p>
            <w:pPr>
              <w:spacing w:after="0"/>
            </w:pPr>
            <w:r/>
            <w:r>
              <w:rPr>
                <w:rFonts w:ascii="Arial" w:hAnsi="Arial"/>
                <w:b w:val="0"/>
                <w:sz w:val="17"/>
              </w:rPr>
              <w:t>10 %</w:t>
            </w:r>
          </w:p>
        </w:tc>
        <w:tc>
          <w:tcPr>
            <w:tcW w:type="dxa" w:w="3312"/>
            <w:vAlign w:val="center"/>
          </w:tcPr>
          <w:p>
            <w:pPr>
              <w:spacing w:after="0"/>
            </w:pPr>
            <w:r/>
            <w:r>
              <w:rPr>
                <w:rFonts w:ascii="Arial" w:hAnsi="Arial"/>
                <w:b w:val="0"/>
                <w:sz w:val="17"/>
              </w:rPr>
              <w:t>0,0 %</w:t>
            </w:r>
          </w:p>
        </w:tc>
      </w:tr>
      <w:tr>
        <w:tc>
          <w:tcPr>
            <w:tcW w:type="dxa" w:w="3600"/>
            <w:vAlign w:val="center"/>
          </w:tcPr>
          <w:p>
            <w:pPr>
              <w:spacing w:after="0"/>
            </w:pPr>
            <w:r/>
            <w:r>
              <w:rPr>
                <w:rFonts w:ascii="Arial" w:hAnsi="Arial"/>
                <w:b w:val="0"/>
                <w:sz w:val="17"/>
              </w:rPr>
              <w:t>25 %</w:t>
            </w:r>
          </w:p>
        </w:tc>
        <w:tc>
          <w:tcPr>
            <w:tcW w:type="dxa" w:w="3312"/>
            <w:vAlign w:val="center"/>
          </w:tcPr>
          <w:p>
            <w:pPr>
              <w:spacing w:after="0"/>
            </w:pPr>
            <w:r/>
            <w:r>
              <w:rPr>
                <w:rFonts w:ascii="Arial" w:hAnsi="Arial"/>
                <w:b w:val="0"/>
                <w:sz w:val="17"/>
              </w:rPr>
              <w:t>0,1 %</w:t>
            </w:r>
          </w:p>
        </w:tc>
      </w:tr>
      <w:tr>
        <w:tc>
          <w:tcPr>
            <w:tcW w:type="dxa" w:w="3600"/>
            <w:vAlign w:val="center"/>
          </w:tcPr>
          <w:p>
            <w:pPr>
              <w:spacing w:after="0"/>
            </w:pPr>
            <w:r/>
            <w:r>
              <w:rPr>
                <w:rFonts w:ascii="Arial" w:hAnsi="Arial"/>
                <w:b w:val="0"/>
                <w:sz w:val="17"/>
              </w:rPr>
              <w:t>40 %</w:t>
            </w:r>
          </w:p>
        </w:tc>
        <w:tc>
          <w:tcPr>
            <w:tcW w:type="dxa" w:w="3312"/>
            <w:vAlign w:val="center"/>
          </w:tcPr>
          <w:p>
            <w:pPr>
              <w:spacing w:after="0"/>
            </w:pPr>
            <w:r/>
            <w:r>
              <w:rPr>
                <w:rFonts w:ascii="Arial" w:hAnsi="Arial"/>
                <w:b w:val="0"/>
                <w:sz w:val="17"/>
              </w:rPr>
              <w:t>6,3 %</w:t>
            </w:r>
          </w:p>
        </w:tc>
      </w:tr>
      <w:tr>
        <w:tc>
          <w:tcPr>
            <w:tcW w:type="dxa" w:w="3600"/>
            <w:vAlign w:val="center"/>
          </w:tcPr>
          <w:p>
            <w:pPr>
              <w:spacing w:after="0"/>
            </w:pPr>
            <w:r/>
            <w:r>
              <w:rPr>
                <w:rFonts w:ascii="Arial" w:hAnsi="Arial"/>
                <w:b w:val="0"/>
                <w:sz w:val="17"/>
              </w:rPr>
              <w:t>45 %</w:t>
            </w:r>
          </w:p>
        </w:tc>
        <w:tc>
          <w:tcPr>
            <w:tcW w:type="dxa" w:w="3312"/>
            <w:vAlign w:val="center"/>
          </w:tcPr>
          <w:p>
            <w:pPr>
              <w:spacing w:after="0"/>
            </w:pPr>
            <w:r/>
            <w:r>
              <w:rPr>
                <w:rFonts w:ascii="Arial" w:hAnsi="Arial"/>
                <w:b w:val="0"/>
                <w:sz w:val="17"/>
              </w:rPr>
              <w:t>24,3 %</w:t>
            </w:r>
          </w:p>
        </w:tc>
      </w:tr>
      <w:tr>
        <w:tc>
          <w:tcPr>
            <w:tcW w:type="dxa" w:w="3600"/>
            <w:vAlign w:val="center"/>
          </w:tcPr>
          <w:p>
            <w:pPr>
              <w:spacing w:after="0"/>
            </w:pPr>
            <w:r/>
            <w:r>
              <w:rPr>
                <w:rFonts w:ascii="Arial" w:hAnsi="Arial"/>
                <w:b w:val="0"/>
                <w:sz w:val="17"/>
              </w:rPr>
              <w:t>55 %</w:t>
            </w:r>
          </w:p>
        </w:tc>
        <w:tc>
          <w:tcPr>
            <w:tcW w:type="dxa" w:w="3312"/>
            <w:vAlign w:val="center"/>
          </w:tcPr>
          <w:p>
            <w:pPr>
              <w:spacing w:after="0"/>
            </w:pPr>
            <w:r/>
            <w:r>
              <w:rPr>
                <w:rFonts w:ascii="Arial" w:hAnsi="Arial"/>
                <w:b w:val="0"/>
                <w:sz w:val="17"/>
              </w:rPr>
              <w:t>100,0 %</w:t>
            </w:r>
          </w:p>
        </w:tc>
      </w:tr>
      <w:tr>
        <w:tc>
          <w:tcPr>
            <w:tcW w:type="dxa" w:w="3600"/>
            <w:vAlign w:val="center"/>
          </w:tcPr>
          <w:p>
            <w:pPr>
              <w:spacing w:after="0"/>
            </w:pPr>
            <w:r/>
            <w:r>
              <w:rPr>
                <w:rFonts w:ascii="Arial" w:hAnsi="Arial"/>
                <w:b w:val="0"/>
                <w:sz w:val="17"/>
              </w:rPr>
              <w:t>70 %</w:t>
            </w:r>
          </w:p>
        </w:tc>
        <w:tc>
          <w:tcPr>
            <w:tcW w:type="dxa" w:w="3312"/>
            <w:vAlign w:val="center"/>
          </w:tcPr>
          <w:p>
            <w:pPr>
              <w:spacing w:after="0"/>
            </w:pPr>
            <w:r/>
            <w:r>
              <w:rPr>
                <w:rFonts w:ascii="Arial" w:hAnsi="Arial"/>
                <w:b w:val="0"/>
                <w:sz w:val="17"/>
              </w:rPr>
              <w:t>100,0 %</w:t>
            </w:r>
          </w:p>
        </w:tc>
      </w:tr>
    </w:tbl>
    <w:p>
      <w:pPr>
        <w:spacing w:after="0"/>
      </w:pPr>
    </w:p>
    <w:p>
      <w:r>
        <w:t>La probabilité de réussite augmente avec la puissance de calcul de l’attaquant. Dans cette simulation bornée, les parts de 55 % et 70 % ont atteint 100 % de réussite. Ce résultat est propre aux paramètres de l’expérience et ne constitue pas une garantie générale.</w:t>
      </w:r>
    </w:p>
    <w:tbl>
      <w:tblPr>
        <w:tblStyle w:val="TableGrid"/>
        <w:tblW w:type="auto" w:w="0"/>
        <w:jc w:val="center"/>
        <w:tblLook w:firstColumn="1" w:firstRow="1" w:lastColumn="0" w:lastRow="0" w:noHBand="0" w:noVBand="1" w:val="04A0"/>
      </w:tblPr>
      <w:tblGrid>
        <w:gridCol w:w="3360"/>
        <w:gridCol w:w="3360"/>
        <w:gridCol w:w="3360"/>
      </w:tblGrid>
      <w:tr>
        <w:tc>
          <w:tcPr>
            <w:tcW w:type="dxa" w:w="2592"/>
            <w:vAlign w:val="center"/>
            <w:shd w:fill="D9EAF7"/>
          </w:tcPr>
          <w:p>
            <w:pPr>
              <w:spacing w:after="0"/>
            </w:pPr>
            <w:r/>
            <w:r>
              <w:rPr>
                <w:rFonts w:ascii="Arial" w:hAnsi="Arial"/>
                <w:b/>
                <w:sz w:val="17"/>
              </w:rPr>
              <w:t>Retard de l’attaquant</w:t>
            </w:r>
          </w:p>
        </w:tc>
        <w:tc>
          <w:tcPr>
            <w:tcW w:type="dxa" w:w="2592"/>
            <w:vAlign w:val="center"/>
            <w:shd w:fill="D9EAF7"/>
          </w:tcPr>
          <w:p>
            <w:pPr>
              <w:spacing w:after="0"/>
            </w:pPr>
            <w:r/>
            <w:r>
              <w:rPr>
                <w:rFonts w:ascii="Arial" w:hAnsi="Arial"/>
                <w:b/>
                <w:sz w:val="17"/>
              </w:rPr>
              <w:t>Part de calcul</w:t>
            </w:r>
          </w:p>
        </w:tc>
        <w:tc>
          <w:tcPr>
            <w:tcW w:type="dxa" w:w="3024"/>
            <w:vAlign w:val="center"/>
            <w:shd w:fill="D9EAF7"/>
          </w:tcPr>
          <w:p>
            <w:pPr>
              <w:spacing w:after="0"/>
            </w:pPr>
            <w:r/>
            <w:r>
              <w:rPr>
                <w:rFonts w:ascii="Arial" w:hAnsi="Arial"/>
                <w:b/>
                <w:sz w:val="17"/>
              </w:rPr>
              <w:t>Réussite observée</w:t>
            </w:r>
          </w:p>
        </w:tc>
      </w:tr>
      <w:tr>
        <w:tc>
          <w:tcPr>
            <w:tcW w:type="dxa" w:w="2592"/>
            <w:vAlign w:val="center"/>
          </w:tcPr>
          <w:p>
            <w:pPr>
              <w:spacing w:after="0"/>
            </w:pPr>
            <w:r/>
            <w:r>
              <w:rPr>
                <w:rFonts w:ascii="Arial" w:hAnsi="Arial"/>
                <w:b w:val="0"/>
                <w:sz w:val="17"/>
              </w:rPr>
              <w:t>1 bloc</w:t>
            </w:r>
          </w:p>
        </w:tc>
        <w:tc>
          <w:tcPr>
            <w:tcW w:type="dxa" w:w="2592"/>
            <w:vAlign w:val="center"/>
          </w:tcPr>
          <w:p>
            <w:pPr>
              <w:spacing w:after="0"/>
            </w:pPr>
            <w:r/>
            <w:r>
              <w:rPr>
                <w:rFonts w:ascii="Arial" w:hAnsi="Arial"/>
                <w:b w:val="0"/>
                <w:sz w:val="17"/>
              </w:rPr>
              <w:t>40 %</w:t>
            </w:r>
          </w:p>
        </w:tc>
        <w:tc>
          <w:tcPr>
            <w:tcW w:type="dxa" w:w="3024"/>
            <w:vAlign w:val="center"/>
          </w:tcPr>
          <w:p>
            <w:pPr>
              <w:spacing w:after="0"/>
            </w:pPr>
            <w:r/>
            <w:r>
              <w:rPr>
                <w:rFonts w:ascii="Arial" w:hAnsi="Arial"/>
                <w:b w:val="0"/>
                <w:sz w:val="17"/>
              </w:rPr>
              <w:t>44,5 %</w:t>
            </w:r>
          </w:p>
        </w:tc>
      </w:tr>
      <w:tr>
        <w:tc>
          <w:tcPr>
            <w:tcW w:type="dxa" w:w="2592"/>
            <w:vAlign w:val="center"/>
          </w:tcPr>
          <w:p>
            <w:pPr>
              <w:spacing w:after="0"/>
            </w:pPr>
            <w:r/>
            <w:r>
              <w:rPr>
                <w:rFonts w:ascii="Arial" w:hAnsi="Arial"/>
                <w:b w:val="0"/>
                <w:sz w:val="17"/>
              </w:rPr>
              <w:t>6 blocs</w:t>
            </w:r>
          </w:p>
        </w:tc>
        <w:tc>
          <w:tcPr>
            <w:tcW w:type="dxa" w:w="2592"/>
            <w:vAlign w:val="center"/>
          </w:tcPr>
          <w:p>
            <w:pPr>
              <w:spacing w:after="0"/>
            </w:pPr>
            <w:r/>
            <w:r>
              <w:rPr>
                <w:rFonts w:ascii="Arial" w:hAnsi="Arial"/>
                <w:b w:val="0"/>
                <w:sz w:val="17"/>
              </w:rPr>
              <w:t>40 %</w:t>
            </w:r>
          </w:p>
        </w:tc>
        <w:tc>
          <w:tcPr>
            <w:tcW w:type="dxa" w:w="3024"/>
            <w:vAlign w:val="center"/>
          </w:tcPr>
          <w:p>
            <w:pPr>
              <w:spacing w:after="0"/>
            </w:pPr>
            <w:r/>
            <w:r>
              <w:rPr>
                <w:rFonts w:ascii="Arial" w:hAnsi="Arial"/>
                <w:b w:val="0"/>
                <w:sz w:val="17"/>
              </w:rPr>
              <w:t>6,3 %</w:t>
            </w:r>
          </w:p>
        </w:tc>
      </w:tr>
      <w:tr>
        <w:tc>
          <w:tcPr>
            <w:tcW w:type="dxa" w:w="2592"/>
            <w:vAlign w:val="center"/>
          </w:tcPr>
          <w:p>
            <w:pPr>
              <w:spacing w:after="0"/>
            </w:pPr>
            <w:r/>
            <w:r>
              <w:rPr>
                <w:rFonts w:ascii="Arial" w:hAnsi="Arial"/>
                <w:b w:val="0"/>
                <w:sz w:val="17"/>
              </w:rPr>
              <w:t>12 blocs</w:t>
            </w:r>
          </w:p>
        </w:tc>
        <w:tc>
          <w:tcPr>
            <w:tcW w:type="dxa" w:w="2592"/>
            <w:vAlign w:val="center"/>
          </w:tcPr>
          <w:p>
            <w:pPr>
              <w:spacing w:after="0"/>
            </w:pPr>
            <w:r/>
            <w:r>
              <w:rPr>
                <w:rFonts w:ascii="Arial" w:hAnsi="Arial"/>
                <w:b w:val="0"/>
                <w:sz w:val="17"/>
              </w:rPr>
              <w:t>40 %</w:t>
            </w:r>
          </w:p>
        </w:tc>
        <w:tc>
          <w:tcPr>
            <w:tcW w:type="dxa" w:w="3024"/>
            <w:vAlign w:val="center"/>
          </w:tcPr>
          <w:p>
            <w:pPr>
              <w:spacing w:after="0"/>
            </w:pPr>
            <w:r/>
            <w:r>
              <w:rPr>
                <w:rFonts w:ascii="Arial" w:hAnsi="Arial"/>
                <w:b w:val="0"/>
                <w:sz w:val="17"/>
              </w:rPr>
              <w:t>0,5 %</w:t>
            </w:r>
          </w:p>
        </w:tc>
      </w:tr>
    </w:tbl>
    <w:p>
      <w:pPr>
        <w:spacing w:after="0"/>
      </w:pPr>
    </w:p>
    <w:p>
      <w:r>
        <w:t>À puissance de calcul constante (40 %), la probabilité observée diminue lorsque le retard à rattraper augmente. Un commerçant doit donc attendre davantage de confirmations pour les paiements importants.</w:t>
      </w:r>
    </w:p>
    <w:p>
      <w:pPr>
        <w:pStyle w:val="Heading1"/>
      </w:pPr>
      <w:r>
        <w:t>5. Preuve d’enjeu (PoS)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1440"/>
            <w:vAlign w:val="center"/>
            <w:shd w:fill="D9EAF7"/>
          </w:tcPr>
          <w:p>
            <w:pPr>
              <w:spacing w:after="0"/>
            </w:pPr>
            <w:r/>
            <w:r>
              <w:rPr>
                <w:rFonts w:ascii="Arial" w:hAnsi="Arial"/>
                <w:b/>
                <w:sz w:val="17"/>
              </w:rPr>
              <w:t>Validateur</w:t>
            </w:r>
          </w:p>
        </w:tc>
        <w:tc>
          <w:tcPr>
            <w:tcW w:type="dxa" w:w="1800"/>
            <w:vAlign w:val="center"/>
            <w:shd w:fill="D9EAF7"/>
          </w:tcPr>
          <w:p>
            <w:pPr>
              <w:spacing w:after="0"/>
            </w:pPr>
            <w:r/>
            <w:r>
              <w:rPr>
                <w:rFonts w:ascii="Arial" w:hAnsi="Arial"/>
                <w:b/>
                <w:sz w:val="17"/>
              </w:rPr>
              <w:t>Part de mise initiale</w:t>
            </w:r>
          </w:p>
        </w:tc>
        <w:tc>
          <w:tcPr>
            <w:tcW w:type="dxa" w:w="1656"/>
            <w:vAlign w:val="center"/>
            <w:shd w:fill="D9EAF7"/>
          </w:tcPr>
          <w:p>
            <w:pPr>
              <w:spacing w:after="0"/>
            </w:pPr>
            <w:r/>
            <w:r>
              <w:rPr>
                <w:rFonts w:ascii="Arial" w:hAnsi="Arial"/>
                <w:b/>
                <w:sz w:val="17"/>
              </w:rPr>
              <w:t>Blocs proposés</w:t>
            </w:r>
          </w:p>
        </w:tc>
        <w:tc>
          <w:tcPr>
            <w:tcW w:type="dxa" w:w="1800"/>
            <w:vAlign w:val="center"/>
            <w:shd w:fill="D9EAF7"/>
          </w:tcPr>
          <w:p>
            <w:pPr>
              <w:spacing w:after="0"/>
            </w:pPr>
            <w:r/>
            <w:r>
              <w:rPr>
                <w:rFonts w:ascii="Arial" w:hAnsi="Arial"/>
                <w:b/>
                <w:sz w:val="17"/>
              </w:rPr>
              <w:t>Part après sanction</w:t>
            </w:r>
          </w:p>
        </w:tc>
        <w:tc>
          <w:tcPr>
            <w:tcW w:type="dxa" w:w="1656"/>
            <w:vAlign w:val="center"/>
            <w:shd w:fill="D9EAF7"/>
          </w:tcPr>
          <w:p>
            <w:pPr>
              <w:spacing w:after="0"/>
            </w:pPr>
            <w:r/>
            <w:r>
              <w:rPr>
                <w:rFonts w:ascii="Arial" w:hAnsi="Arial"/>
                <w:b/>
                <w:sz w:val="17"/>
              </w:rPr>
              <w:t>Blocs proposés</w:t>
            </w:r>
          </w:p>
        </w:tc>
      </w:tr>
      <w:tr>
        <w:tc>
          <w:tcPr>
            <w:tcW w:type="dxa" w:w="1440"/>
            <w:vAlign w:val="center"/>
          </w:tcPr>
          <w:p>
            <w:pPr>
              <w:spacing w:after="0"/>
            </w:pPr>
            <w:r/>
            <w:r>
              <w:rPr>
                <w:rFonts w:ascii="Arial" w:hAnsi="Arial"/>
                <w:b w:val="0"/>
                <w:sz w:val="17"/>
              </w:rPr>
              <w:t>Alice</w:t>
            </w:r>
          </w:p>
        </w:tc>
        <w:tc>
          <w:tcPr>
            <w:tcW w:type="dxa" w:w="1800"/>
            <w:vAlign w:val="center"/>
          </w:tcPr>
          <w:p>
            <w:pPr>
              <w:spacing w:after="0"/>
            </w:pPr>
            <w:r/>
            <w:r>
              <w:rPr>
                <w:rFonts w:ascii="Arial" w:hAnsi="Arial"/>
                <w:b w:val="0"/>
                <w:sz w:val="17"/>
              </w:rPr>
              <w:t>50,0 %</w:t>
            </w:r>
          </w:p>
        </w:tc>
        <w:tc>
          <w:tcPr>
            <w:tcW w:type="dxa" w:w="1656"/>
            <w:vAlign w:val="center"/>
          </w:tcPr>
          <w:p>
            <w:pPr>
              <w:spacing w:after="0"/>
            </w:pPr>
            <w:r/>
            <w:r>
              <w:rPr>
                <w:rFonts w:ascii="Arial" w:hAnsi="Arial"/>
                <w:b w:val="0"/>
                <w:sz w:val="17"/>
              </w:rPr>
              <w:t>50,2 %</w:t>
            </w:r>
          </w:p>
        </w:tc>
        <w:tc>
          <w:tcPr>
            <w:tcW w:type="dxa" w:w="1800"/>
            <w:vAlign w:val="center"/>
          </w:tcPr>
          <w:p>
            <w:pPr>
              <w:spacing w:after="0"/>
            </w:pPr>
            <w:r/>
            <w:r>
              <w:rPr>
                <w:rFonts w:ascii="Arial" w:hAnsi="Arial"/>
                <w:b w:val="0"/>
                <w:sz w:val="17"/>
              </w:rPr>
              <w:t>58,8 %</w:t>
            </w:r>
          </w:p>
        </w:tc>
        <w:tc>
          <w:tcPr>
            <w:tcW w:type="dxa" w:w="1656"/>
            <w:vAlign w:val="center"/>
          </w:tcPr>
          <w:p>
            <w:pPr>
              <w:spacing w:after="0"/>
            </w:pPr>
            <w:r/>
            <w:r>
              <w:rPr>
                <w:rFonts w:ascii="Arial" w:hAnsi="Arial"/>
                <w:b w:val="0"/>
                <w:sz w:val="17"/>
              </w:rPr>
              <w:t>58,9 %</w:t>
            </w:r>
          </w:p>
        </w:tc>
      </w:tr>
      <w:tr>
        <w:tc>
          <w:tcPr>
            <w:tcW w:type="dxa" w:w="1440"/>
            <w:vAlign w:val="center"/>
          </w:tcPr>
          <w:p>
            <w:pPr>
              <w:spacing w:after="0"/>
            </w:pPr>
            <w:r/>
            <w:r>
              <w:rPr>
                <w:rFonts w:ascii="Arial" w:hAnsi="Arial"/>
                <w:b w:val="0"/>
                <w:sz w:val="17"/>
              </w:rPr>
              <w:t>Bob</w:t>
            </w:r>
          </w:p>
        </w:tc>
        <w:tc>
          <w:tcPr>
            <w:tcW w:type="dxa" w:w="1800"/>
            <w:vAlign w:val="center"/>
          </w:tcPr>
          <w:p>
            <w:pPr>
              <w:spacing w:after="0"/>
            </w:pPr>
            <w:r/>
            <w:r>
              <w:rPr>
                <w:rFonts w:ascii="Arial" w:hAnsi="Arial"/>
                <w:b w:val="0"/>
                <w:sz w:val="17"/>
              </w:rPr>
              <w:t>30,0 %</w:t>
            </w:r>
          </w:p>
        </w:tc>
        <w:tc>
          <w:tcPr>
            <w:tcW w:type="dxa" w:w="1656"/>
            <w:vAlign w:val="center"/>
          </w:tcPr>
          <w:p>
            <w:pPr>
              <w:spacing w:after="0"/>
            </w:pPr>
            <w:r/>
            <w:r>
              <w:rPr>
                <w:rFonts w:ascii="Arial" w:hAnsi="Arial"/>
                <w:b w:val="0"/>
                <w:sz w:val="17"/>
              </w:rPr>
              <w:t>30,0 %</w:t>
            </w:r>
          </w:p>
        </w:tc>
        <w:tc>
          <w:tcPr>
            <w:tcW w:type="dxa" w:w="1800"/>
            <w:vAlign w:val="center"/>
          </w:tcPr>
          <w:p>
            <w:pPr>
              <w:spacing w:after="0"/>
            </w:pPr>
            <w:r/>
            <w:r>
              <w:rPr>
                <w:rFonts w:ascii="Arial" w:hAnsi="Arial"/>
                <w:b w:val="0"/>
                <w:sz w:val="17"/>
              </w:rPr>
              <w:t>17,6 %</w:t>
            </w:r>
          </w:p>
        </w:tc>
        <w:tc>
          <w:tcPr>
            <w:tcW w:type="dxa" w:w="1656"/>
            <w:vAlign w:val="center"/>
          </w:tcPr>
          <w:p>
            <w:pPr>
              <w:spacing w:after="0"/>
            </w:pPr>
            <w:r/>
            <w:r>
              <w:rPr>
                <w:rFonts w:ascii="Arial" w:hAnsi="Arial"/>
                <w:b w:val="0"/>
                <w:sz w:val="17"/>
              </w:rPr>
              <w:t>17,8 %</w:t>
            </w:r>
          </w:p>
        </w:tc>
      </w:tr>
      <w:tr>
        <w:tc>
          <w:tcPr>
            <w:tcW w:type="dxa" w:w="1440"/>
            <w:vAlign w:val="center"/>
          </w:tcPr>
          <w:p>
            <w:pPr>
              <w:spacing w:after="0"/>
            </w:pPr>
            <w:r/>
            <w:r>
              <w:rPr>
                <w:rFonts w:ascii="Arial" w:hAnsi="Arial"/>
                <w:b w:val="0"/>
                <w:sz w:val="17"/>
              </w:rPr>
              <w:t>Carole</w:t>
            </w:r>
          </w:p>
        </w:tc>
        <w:tc>
          <w:tcPr>
            <w:tcW w:type="dxa" w:w="1800"/>
            <w:vAlign w:val="center"/>
          </w:tcPr>
          <w:p>
            <w:pPr>
              <w:spacing w:after="0"/>
            </w:pPr>
            <w:r/>
            <w:r>
              <w:rPr>
                <w:rFonts w:ascii="Arial" w:hAnsi="Arial"/>
                <w:b w:val="0"/>
                <w:sz w:val="17"/>
              </w:rPr>
              <w:t>15,0 %</w:t>
            </w:r>
          </w:p>
        </w:tc>
        <w:tc>
          <w:tcPr>
            <w:tcW w:type="dxa" w:w="1656"/>
            <w:vAlign w:val="center"/>
          </w:tcPr>
          <w:p>
            <w:pPr>
              <w:spacing w:after="0"/>
            </w:pPr>
            <w:r/>
            <w:r>
              <w:rPr>
                <w:rFonts w:ascii="Arial" w:hAnsi="Arial"/>
                <w:b w:val="0"/>
                <w:sz w:val="17"/>
              </w:rPr>
              <w:t>14,9 %</w:t>
            </w:r>
          </w:p>
        </w:tc>
        <w:tc>
          <w:tcPr>
            <w:tcW w:type="dxa" w:w="1800"/>
            <w:vAlign w:val="center"/>
          </w:tcPr>
          <w:p>
            <w:pPr>
              <w:spacing w:after="0"/>
            </w:pPr>
            <w:r/>
            <w:r>
              <w:rPr>
                <w:rFonts w:ascii="Arial" w:hAnsi="Arial"/>
                <w:b w:val="0"/>
                <w:sz w:val="17"/>
              </w:rPr>
              <w:t>17,6 %</w:t>
            </w:r>
          </w:p>
        </w:tc>
        <w:tc>
          <w:tcPr>
            <w:tcW w:type="dxa" w:w="1656"/>
            <w:vAlign w:val="center"/>
          </w:tcPr>
          <w:p>
            <w:pPr>
              <w:spacing w:after="0"/>
            </w:pPr>
            <w:r/>
            <w:r>
              <w:rPr>
                <w:rFonts w:ascii="Arial" w:hAnsi="Arial"/>
                <w:b w:val="0"/>
                <w:sz w:val="17"/>
              </w:rPr>
              <w:t>17,3 %</w:t>
            </w:r>
          </w:p>
        </w:tc>
      </w:tr>
      <w:tr>
        <w:tc>
          <w:tcPr>
            <w:tcW w:type="dxa" w:w="1440"/>
            <w:vAlign w:val="center"/>
          </w:tcPr>
          <w:p>
            <w:pPr>
              <w:spacing w:after="0"/>
            </w:pPr>
            <w:r/>
            <w:r>
              <w:rPr>
                <w:rFonts w:ascii="Arial" w:hAnsi="Arial"/>
                <w:b w:val="0"/>
                <w:sz w:val="17"/>
              </w:rPr>
              <w:t>Dan</w:t>
            </w:r>
          </w:p>
        </w:tc>
        <w:tc>
          <w:tcPr>
            <w:tcW w:type="dxa" w:w="1800"/>
            <w:vAlign w:val="center"/>
          </w:tcPr>
          <w:p>
            <w:pPr>
              <w:spacing w:after="0"/>
            </w:pPr>
            <w:r/>
            <w:r>
              <w:rPr>
                <w:rFonts w:ascii="Arial" w:hAnsi="Arial"/>
                <w:b w:val="0"/>
                <w:sz w:val="17"/>
              </w:rPr>
              <w:t>5,0 %</w:t>
            </w:r>
          </w:p>
        </w:tc>
        <w:tc>
          <w:tcPr>
            <w:tcW w:type="dxa" w:w="1656"/>
            <w:vAlign w:val="center"/>
          </w:tcPr>
          <w:p>
            <w:pPr>
              <w:spacing w:after="0"/>
            </w:pPr>
            <w:r/>
            <w:r>
              <w:rPr>
                <w:rFonts w:ascii="Arial" w:hAnsi="Arial"/>
                <w:b w:val="0"/>
                <w:sz w:val="17"/>
              </w:rPr>
              <w:t>4,9 %</w:t>
            </w:r>
          </w:p>
        </w:tc>
        <w:tc>
          <w:tcPr>
            <w:tcW w:type="dxa" w:w="1800"/>
            <w:vAlign w:val="center"/>
          </w:tcPr>
          <w:p>
            <w:pPr>
              <w:spacing w:after="0"/>
            </w:pPr>
            <w:r/>
            <w:r>
              <w:rPr>
                <w:rFonts w:ascii="Arial" w:hAnsi="Arial"/>
                <w:b w:val="0"/>
                <w:sz w:val="17"/>
              </w:rPr>
              <w:t>5,9 %</w:t>
            </w:r>
          </w:p>
        </w:tc>
        <w:tc>
          <w:tcPr>
            <w:tcW w:type="dxa" w:w="1656"/>
            <w:vAlign w:val="center"/>
          </w:tcPr>
          <w:p>
            <w:pPr>
              <w:spacing w:after="0"/>
            </w:pPr>
            <w:r/>
            <w:r>
              <w:rPr>
                <w:rFonts w:ascii="Arial" w:hAnsi="Arial"/>
                <w:b w:val="0"/>
                <w:sz w:val="17"/>
              </w:rPr>
              <w:t>5,9 %</w:t>
            </w:r>
          </w:p>
        </w:tc>
      </w:tr>
    </w:tbl>
    <w:p>
      <w:pPr>
        <w:spacing w:after="0"/>
      </w:pPr>
    </w:p>
    <w:p>
      <w:r>
        <w:t>Avec 100 000 tirages, la proportion de blocs proposés est proche de la part de mise de chaque validateur. Après réduction de moitié de la mise de Bob, sa part passe de 30 % à 17,6 % environ. Les écarts restants sont dus au caractère aléatoire de la simulation. Contrairement à PoW, PoS sélectionne les validateurs selon leur mise et consomme moins d’énergie liée au calcul, mais une forte concentration des mises peut concentrer l’influence.</w:t>
      </w:r>
    </w:p>
    <w:p>
      <w:pPr>
        <w:pStyle w:val="Heading1"/>
      </w:pPr>
      <w:r>
        <w:t>6. Réseau, fork et validation des chaînes</w:t>
      </w:r>
    </w:p>
    <w:p>
      <w:r>
        <w:t>Au départ, les trois nœuds possèdent la même chaîne. N1 et N2 minent ensuite deux blocs concurrents : l’un contient « Alice paie Bob 10 », l’autre « Alice paie Carole 10 ». Les deux branches ont la même longueur et restent localement valides. Lorsque N2 ajoute un bloc à sa branche et la diffuse, N1 et N3 adoptent la chaîne plus longue. Les trois nœuds convergent alors vers la branche contenant le paiement à Carole ; le paiement à Bob n’est plus présent dans la chaîne retenue.</w:t>
      </w:r>
    </w:p>
    <w:p>
      <w:r>
        <w:t>Dans un premier essai, l’attaquant a pu faire accepter une chaîne de longueur 6 minée à difficulté 1, alors que les nœuds honnêtes utilisaient la difficulté 4. Le problème venait de la validation de la chaîne selon sa propre difficulté. Après correction de recevoir(), les trois nœuds rejettent cette chaîne avec le message « mauvaise difficulté » et conservent leur chaîne honnête de longueur 4.</w:t>
      </w:r>
    </w:p>
    <w:p>
      <w:pPr>
        <w:pStyle w:val="Heading1"/>
      </w:pPr>
      <w:r>
        <w:t>7. Conclusion</w:t>
      </w:r>
    </w:p>
    <w:p>
      <w:r>
        <w:t>Ce TP montre que les hash relient les blocs et permettent de détecter les modifications, tandis que la preuve de travail rend la réécriture coûteuse. La simulation de l’attaque met en évidence l’importance de la puissance de calcul et du nombre de confirmations. La preuve d’enjeu répartit la proposition des blocs selon les mises. Enfin, le réseau doit vérifier non seulement la longueur et la validité d’une chaîne, mais aussi le respect des paramètres de consensus attendus.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TP 3 — Blockchain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