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160"/>
        <w:jc w:val="center"/>
      </w:pPr>
      <w:r>
        <w:rPr>
          <w:rFonts w:ascii="Arial" w:hAnsi="Arial"/>
          <w:b/>
          <w:color w:val="1F4E79"/>
          <w:sz w:val="52"/>
        </w:rPr>
        <w:t>AURA DATA Layer</w:t>
      </w:r>
    </w:p>
    <w:p>
      <w:pPr>
        <w:spacing w:after="280"/>
        <w:jc w:val="center"/>
      </w:pPr>
      <w:r>
        <w:rPr>
          <w:rFonts w:ascii="Arial" w:hAnsi="Arial"/>
          <w:color w:val="0F5B3F"/>
          <w:sz w:val="28"/>
        </w:rPr>
        <w:t>Unified multi-source real estate intelligence for Portugal</w:t>
      </w:r>
    </w:p>
    <w:p>
      <w:pPr>
        <w:spacing w:after="360"/>
        <w:jc w:val="center"/>
      </w:pPr>
      <w:r>
        <w:rPr>
          <w:rFonts w:ascii="Arial" w:hAnsi="Arial"/>
          <w:i/>
          <w:color w:val="334155"/>
          <w:sz w:val="22"/>
        </w:rPr>
        <w:t>Prepared for AURA (Adaptive Unified Real Estate Intelligence Engine)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3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F4E79"/>
                <w:sz w:val="21"/>
              </w:rPr>
              <w:t xml:space="preserve">Scope: </w:t>
            </w:r>
            <w:r>
              <w:rPr>
                <w:rFonts w:ascii="Arial" w:hAnsi="Arial"/>
                <w:b w:val="0"/>
                <w:color w:val="334155"/>
                <w:sz w:val="21"/>
              </w:rPr>
              <w:t>market listings, official market data, macro-financial signals, socioeconomic context, ESG proxies, and regulatory risk</w:t>
            </w:r>
            <w:r>
              <w:br/>
            </w:r>
            <w:r>
              <w:rPr>
                <w:rFonts w:ascii="Arial" w:hAnsi="Arial"/>
                <w:color w:val="334155"/>
                <w:sz w:val="20"/>
              </w:rPr>
              <w:t>This document consolidates the final dataset strategy, architecture, limitations, and integration logic.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b/>
          <w:color w:val="1F4E79"/>
          <w:sz w:val="32"/>
        </w:rPr>
        <w:t>1. Overview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DATA layer is the unified data backbone of AURA. Rather than depending on a single source, it combines complementary datasets so that valuation, demand, ESG, and compliance signals can be interpreted together.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This multi-source design keeps the system decision-oriented and explainable. Each dataset contributes a different lens on the Portuguese real estate market: what is being listed, what the official market says, how financing conditions affect demand, how neighborhoods behave, how buildings perform, and how regulation shapes investor risk.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Arial" w:hAnsi="Arial"/>
                <w:b/>
                <w:color w:val="1F4E79"/>
                <w:sz w:val="21"/>
              </w:rPr>
              <w:t>Design principles</w:t>
              <w:br/>
            </w:r>
            <w:r>
              <w:rPr>
                <w:rFonts w:ascii="Arial" w:hAnsi="Arial"/>
                <w:sz w:val="20"/>
              </w:rPr>
              <w:t>Why this structure matters:</w:t>
              <w:br/>
            </w:r>
            <w:r>
              <w:rPr>
                <w:rFonts w:ascii="Arial" w:hAnsi="Arial"/>
                <w:sz w:val="20"/>
              </w:rPr>
              <w:t>- it reduces bias from single-source modeling,</w:t>
              <w:br/>
            </w:r>
            <w:r>
              <w:rPr>
                <w:rFonts w:ascii="Arial" w:hAnsi="Arial"/>
                <w:sz w:val="20"/>
              </w:rPr>
              <w:t>- it makes valuation outputs easier to explain, and</w:t>
              <w:br/>
            </w:r>
            <w:r>
              <w:rPr>
                <w:rFonts w:ascii="Arial" w:hAnsi="Arial"/>
                <w:sz w:val="20"/>
              </w:rPr>
              <w:t>- it supports dynamic seller decisions such as SELL_NOW, WAIT, REDUCE_PRICE, and HOLD.</w:t>
            </w:r>
          </w:p>
        </w:tc>
      </w:tr>
    </w:tbl>
    <w:p>
      <w:pPr>
        <w:pStyle w:val="Heading1"/>
        <w:spacing w:before="200" w:after="120"/>
      </w:pPr>
      <w:r>
        <w:rPr>
          <w:b/>
          <w:color w:val="1F4E79"/>
          <w:sz w:val="32"/>
        </w:rPr>
        <w:t>2. Core Dataset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D4"/>
          <w:left w:val="single" w:sz="5" w:space="0" w:color="B8C4D4"/>
          <w:bottom w:val="single" w:sz="5" w:space="0" w:color="B8C4D4"/>
          <w:right w:val="single" w:sz="5" w:space="0" w:color="B8C4D4"/>
          <w:insideH w:val="single" w:sz="5" w:space="0" w:color="B8C4D4"/>
          <w:insideV w:val="single" w:sz="5" w:space="0" w:color="B8C4D4"/>
        </w:tblBorders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1F4E7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67"/>
            <w:shd w:fill="1F4E7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Source / Dataset</w:t>
            </w:r>
          </w:p>
        </w:tc>
        <w:tc>
          <w:tcPr>
            <w:tcW w:type="dxa" w:w="1967"/>
            <w:shd w:fill="1F4E7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1967"/>
            <w:shd w:fill="1F4E7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Granularity</w:t>
            </w:r>
          </w:p>
        </w:tc>
        <w:tc>
          <w:tcPr>
            <w:tcW w:type="dxa" w:w="1967"/>
            <w:shd w:fill="1F4E7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Role in AURA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1.1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Portugal Real Estate Listings 2024-2025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CSV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Property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Primary market layer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1.2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Portugal Housing Affordability and Market Factors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CSV / time-series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Regional / temporal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Market calibration and momentum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Housing Price Index (INE 0009201)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API / CSV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National / NUTS II-III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Official calibration anchor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BPstat Housing Credit &amp; Interest Rates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API / CSV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National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Demand and liquidity engine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PORDATA Portugal Database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CSV / Excel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Municipality / region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Neighborhood intelligence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Portugal Buildings (OpenStreetMap Export)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GeoJSON / GIS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Building-level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ESG proxy engine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RNAL - Alojamento Local Registry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API (JSON)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center"/>
            </w:pPr>
            <w:r>
              <w:rPr>
                <w:rFonts w:ascii="Arial" w:hAnsi="Arial"/>
                <w:sz w:val="18"/>
              </w:rPr>
              <w:t>Property-level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CFE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Regulatory and demand pressure</w:t>
            </w:r>
          </w:p>
        </w:tc>
      </w:tr>
    </w:tbl>
    <w:p>
      <w:pPr>
        <w:pStyle w:val="Heading1"/>
        <w:spacing w:before="200" w:after="120"/>
      </w:pPr>
      <w:r>
        <w:rPr>
          <w:b/>
          <w:color w:val="1F4E79"/>
          <w:sz w:val="32"/>
        </w:rPr>
        <w:t>3. Dataset Components and Roles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3.1 Category 1 - Property Listings (Market Layer)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listings layer combines a current market snapshot with a longer-term calibration dataset.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Portugal Real Estate Listings 2024-2025: property-level listings with price, area, rooms, location, property type, and partial energy labels.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Portugal Housing Affordability and Market Factors: longitudinal regional time-series that tracks price trends, affordability, and market cycles from 2009 to 2025.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Together, these datasets capture seller behavior, listing inventory, trend dynamics, and affordability pressure. They are the market-facing foundation for AURA valuation.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3.2 Category 2 - Official Market Data (Ground Truth Layer)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Housing Price Index (INE 0009201) acts as the official calibration anchor.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It normalizes listing prices against the observed market.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It helps distinguish real appreciation from inflationary noise.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It ensures that model outputs remain aligned with official transaction trends.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3.3 Category 3 - Financial and Macro Data (Demand Layer)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BPstat adds the financial context required to model demand and liquidity.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Mortgage interest rates and Euribor describe affordability pressure.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Housing credit conditions provide a market-wide liquidity signal.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The layer is useful for simulating rate shocks and demand sensitivity.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3.4 Category 4 - Socioeconomic Context (Neighborhood Intelligence)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PORDATA is used to relate property value to the characteristics of the surrounding municipality or region.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Population and migration capture demand size and future pressure.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Income and labor statistics proxy household purchasing power and stability.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This layer strengthens explainability at neighborhood scale.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3.5 Category 5 - ESG / Energy Intelligence (Sustainability Layer)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original EPC and EUBUCCO paths were not fully usable, so the ESG layer was reconstructed pragmatically with a proxy-based solution.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SCE Energy Certification Database (ADENE): not accessible in a usable format during development.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EUBUCCO: highly relevant, but impractical to use because the Portugal subset required very large archives and the public source was unstable.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Portugal Buildings (OpenStreetMap Export): adopted final solution, providing building footprints that can be used for proxy-based EnergyScore, GreenPremium, and RenovationPotential features.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adopted building-footprint dataset does not provide direct EPC labels, construction year, or thermal properties. It is therefore best interpreted as a spatial and structural proxy that can be combined with typology models such as TABULA for further energy estimation.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3.6 Category 6 - Regulatory and Risk Context (Compliance Layer)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RNAL (Alojamento Local Registry) is the official national registry of short-term rental properties.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It includes property identification, accommodation type, capacity, and full address details.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It is used to detect short-term rental density and tourism pressure.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It is the key source for regulatory and compliance risk in Lisbon.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API returned valid JSON data when queried directly, although the proxy interface showed instability. This limitation is documented rather than hidden.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color w:val="1F4E79"/>
          <w:sz w:val="32"/>
        </w:rPr>
        <w:t>4. Architecture Diagrams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two diagrams below summarize how the layers connect and how the data flows into the final decision engine.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4.1 DATA Integration Pipeline</w:t>
      </w:r>
    </w:p>
    <w:p>
      <w:r>
        <w:drawing>
          <wp:inline xmlns:a="http://schemas.openxmlformats.org/drawingml/2006/main" xmlns:pic="http://schemas.openxmlformats.org/drawingml/2006/picture">
            <wp:extent cx="6309360" cy="2002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0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Sequential enrichment path from market listings to the final AURA intelligence layer.</w:t>
      </w:r>
    </w:p>
    <w:p>
      <w:r>
        <w:br w:type="page"/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4.2 AURA Architecture Overview</w:t>
      </w:r>
    </w:p>
    <w:p>
      <w:r>
        <w:drawing>
          <wp:inline xmlns:a="http://schemas.openxmlformats.org/drawingml/2006/main" xmlns:pic="http://schemas.openxmlformats.org/drawingml/2006/picture">
            <wp:extent cx="6309360" cy="4226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Layered architecture showing how the data backbone feeds the final outputs while preserving explainability.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color w:val="1F4E79"/>
          <w:sz w:val="32"/>
        </w:rPr>
        <w:t>5. Strategic Value for AURA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DATA layer transforms AURA from a simple prediction model into a real estate intelligence system.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Multi-source fusion reduces bias and improves robustness.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Explainability is preserved because every score can be traced back to specific layers.</w:t>
      </w:r>
    </w:p>
    <w:p>
      <w:pPr>
        <w:pStyle w:val="ListBullet"/>
        <w:spacing w:after="40" w:line="264" w:lineRule="auto"/>
      </w:pPr>
      <w:r>
        <w:rPr>
          <w:rFonts w:ascii="Arial" w:hAnsi="Arial"/>
          <w:sz w:val="20"/>
        </w:rPr>
        <w:t>The system becomes decision-oriented rather than purely predictive.</w:t>
      </w:r>
    </w:p>
    <w:p>
      <w:pPr>
        <w:pStyle w:val="Heading2"/>
        <w:spacing w:before="200" w:after="120"/>
      </w:pPr>
      <w:r>
        <w:rPr>
          <w:b/>
          <w:color w:val="1F4E79"/>
          <w:sz w:val="26"/>
        </w:rPr>
        <w:t>5.1 AURA Output Features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integrated DATA layer produces both scoring outputs and decision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D4"/>
          <w:left w:val="single" w:sz="5" w:space="0" w:color="B8C4D4"/>
          <w:bottom w:val="single" w:sz="5" w:space="0" w:color="B8C4D4"/>
          <w:right w:val="single" w:sz="5" w:space="0" w:color="B8C4D4"/>
          <w:insideH w:val="single" w:sz="5" w:space="0" w:color="B8C4D4"/>
          <w:insideV w:val="single" w:sz="5" w:space="0" w:color="B8C4D4"/>
        </w:tblBorders>
      </w:tblPr>
      <w:tblGrid>
        <w:gridCol w:w="4917"/>
        <w:gridCol w:w="4917"/>
      </w:tblGrid>
      <w:tr>
        <w:tc>
          <w:tcPr>
            <w:tcW w:type="dxa" w:w="4917"/>
            <w:shd w:fill="0F5B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Output Type</w:t>
            </w:r>
          </w:p>
        </w:tc>
        <w:tc>
          <w:tcPr>
            <w:tcW w:type="dxa" w:w="4917"/>
            <w:shd w:fill="0F5B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AFCFE"/>
            <w:vAlign w:val="center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Core scores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shd w:fill="FAFCFE"/>
            <w:vAlign w:val="center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Estimated Property Value, Investment Score, Demand Score, Risk Score, ESG Score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Decision outputs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SELL_NOW, WAIT, REDUCE_PRICE, HOLD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AFCFE"/>
            <w:vAlign w:val="center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Explanation layer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shd w:fill="FAFCFE"/>
            <w:vAlign w:val="center"/>
          </w:tcPr>
          <w:p>
            <w:pPr>
              <w:spacing w:line="259" w:lineRule="auto" w:after="0"/>
              <w:jc w:val="left"/>
            </w:pPr>
            <w:r>
              <w:rPr>
                <w:rFonts w:ascii="Arial" w:hAnsi="Arial"/>
                <w:sz w:val="18"/>
              </w:rPr>
              <w:t>Market signals, macro conditions, demographics, ESG proxies, regulatory constraints</w:t>
            </w:r>
          </w:p>
        </w:tc>
      </w:tr>
    </w:tbl>
    <w:p>
      <w:pPr>
        <w:pStyle w:val="Heading2"/>
        <w:spacing w:before="200" w:after="120"/>
      </w:pPr>
      <w:r>
        <w:rPr>
          <w:b/>
          <w:color w:val="1F4E79"/>
          <w:sz w:val="26"/>
        </w:rPr>
        <w:t>5.2 Limitations and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7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Arial" w:hAnsi="Arial"/>
                <w:b/>
                <w:color w:val="1F4E79"/>
                <w:sz w:val="21"/>
              </w:rPr>
              <w:t>Important limitations</w:t>
              <w:br/>
            </w:r>
            <w:r>
              <w:rPr>
                <w:rFonts w:ascii="Arial" w:hAnsi="Arial"/>
                <w:sz w:val="20"/>
              </w:rPr>
              <w:t>Limitations documented in the report:</w:t>
              <w:br/>
            </w:r>
            <w:r>
              <w:rPr>
                <w:rFonts w:ascii="Arial" w:hAnsi="Arial"/>
                <w:sz w:val="20"/>
              </w:rPr>
              <w:t>- SCE EPC data was not usable in the development phase.</w:t>
              <w:br/>
            </w:r>
            <w:r>
              <w:rPr>
                <w:rFonts w:ascii="Arial" w:hAnsi="Arial"/>
                <w:sz w:val="20"/>
              </w:rPr>
              <w:t>- EUBUCCO access was impractical for the Portugal subset.</w:t>
              <w:br/>
            </w:r>
            <w:r>
              <w:rPr>
                <w:rFonts w:ascii="Arial" w:hAnsi="Arial"/>
                <w:sz w:val="20"/>
              </w:rPr>
              <w:t>- The OSM footprint dataset provides a proxy, not an EPC label.</w:t>
              <w:br/>
            </w:r>
            <w:r>
              <w:rPr>
                <w:rFonts w:ascii="Arial" w:hAnsi="Arial"/>
                <w:sz w:val="20"/>
              </w:rPr>
              <w:t>- The RNAL API was unstable through the proxy interface, even though direct JSON access worked.</w:t>
            </w:r>
          </w:p>
        </w:tc>
      </w:tr>
    </w:tbl>
    <w:p>
      <w:pPr>
        <w:pStyle w:val="Heading1"/>
        <w:spacing w:before="200" w:after="120"/>
      </w:pPr>
      <w:r>
        <w:rPr>
          <w:b/>
          <w:color w:val="1F4E79"/>
          <w:sz w:val="32"/>
        </w:rPr>
        <w:t>6. Conclusion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final DATA layer is production-oriented, explainable, and aligned with AURA's decision logic. It combines market, official, macro, socioeconomic, ESG, and regulatory signals into one coherent architecture.</w:t>
      </w:r>
    </w:p>
    <w:p>
      <w:pPr>
        <w:spacing w:after="100" w:before="0" w:line="276" w:lineRule="auto"/>
      </w:pPr>
      <w:r>
        <w:rPr>
          <w:rFonts w:ascii="Arial" w:hAnsi="Arial"/>
          <w:sz w:val="21"/>
        </w:rPr>
        <w:t>The result is not a static pricing model, but an adaptive intelligence engine capable of supporting valuation, demand analysis, and risk-aware investment decisions in the Portuguese real estate market.</w:t>
      </w:r>
    </w:p>
    <w:sectPr w:rsidR="00FC693F" w:rsidRPr="0006063C" w:rsidSect="00034616">
      <w:footerReference w:type="default" r:id="rId9"/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>AURA DATA Layer | Adaptive Unified Real Estate Intelligence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