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75D"/>
          <w:sz w:val="44"/>
        </w:rPr>
        <w:t>AURA Data Fusion Report</w:t>
      </w:r>
    </w:p>
    <w:p>
      <w:pPr>
        <w:jc w:val="center"/>
      </w:pPr>
      <w:r>
        <w:rPr>
          <w:i/>
          <w:color w:val="5A5A5A"/>
          <w:sz w:val="22"/>
        </w:rPr>
        <w:t>Comparison with the Ames Housing Dataset and Summary of the 7-Layer Portugal Intelligence Stack</w:t>
      </w:r>
    </w:p>
    <w:p>
      <w:pPr>
        <w:jc w:val="center"/>
      </w:pPr>
      <w:r>
        <w:rPr>
          <w:color w:val="5A5A5A"/>
          <w:sz w:val="20"/>
        </w:rPr>
        <w:t>Prepared from the cleaned Category 1–6 datasets and the final fused master table</w:t>
      </w:r>
    </w:p>
    <w:p/>
    <w:p>
      <w:r>
        <w:rPr>
          <w:b/>
          <w:color w:val="18375D"/>
          <w:sz w:val="30"/>
        </w:rPr>
        <w:t>Executive Summary</w:t>
      </w:r>
    </w:p>
    <w:p>
      <w:r>
        <w:t>The new AURA fusion table is a Portugal-specific real estate intelligence dataset built by combining seven cleaned layers into one master table with 123,454 rows and 177 columns. It is much larger and much richer than the Ames housing benchmark (1,460 rows, 81 columns), and it is designed not only for price prediction but also for explainable decision support, regional calibration, risk scoring, ESG proxy analysis, and regulatory awareness.</w:t>
      </w:r>
    </w:p>
    <w:p>
      <w:r>
        <w:t>The practical result is that AURA can answer more realistic questions than a simple regression benchmark: what is the likely price, what is driving that price, what is the regulatory pressure, how strong is the neighborhood context, and whether a property looks like a good deal under current market conditions.</w:t>
      </w:r>
    </w:p>
    <w:p/>
    <w:p>
      <w:r>
        <w:rPr>
          <w:b/>
          <w:color w:val="18375D"/>
          <w:sz w:val="26"/>
        </w:rPr>
        <w:t>AURA Fusion Snapshot</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Pr>
          <w:p>
            <w:pPr>
              <w:jc w:val="center"/>
            </w:pPr>
            <w:r>
              <w:rPr>
                <w:b/>
                <w:color w:val="18375D"/>
                <w:sz w:val="18"/>
              </w:rPr>
              <w:t>Metric</w:t>
            </w:r>
          </w:p>
        </w:tc>
        <w:tc>
          <w:tcPr>
            <w:tcW w:type="dxa" w:w="5100"/>
            <w:shd w:fill="D9EAF7"/>
            <w:vAlign w:val="center"/>
          </w:tcPr>
          <w:p>
            <w:pPr>
              <w:jc w:val="center"/>
            </w:pPr>
            <w:r>
              <w:rPr>
                <w:b/>
                <w:color w:val="18375D"/>
                <w:sz w:val="18"/>
              </w:rPr>
              <w:t>Value</w:t>
            </w:r>
          </w:p>
        </w:tc>
      </w:tr>
      <w:tr>
        <w:tc>
          <w:tcPr>
            <w:tcW w:type="dxa" w:w="5100"/>
            <w:vAlign w:val="center"/>
          </w:tcPr>
          <w:p>
            <w:pPr>
              <w:jc w:val="left"/>
            </w:pPr>
            <w:r>
              <w:rPr>
                <w:b w:val="0"/>
                <w:sz w:val="18"/>
              </w:rPr>
              <w:t>Final fused shape</w:t>
            </w:r>
          </w:p>
        </w:tc>
        <w:tc>
          <w:tcPr>
            <w:tcW w:type="dxa" w:w="5100"/>
            <w:vAlign w:val="center"/>
          </w:tcPr>
          <w:p>
            <w:pPr>
              <w:jc w:val="left"/>
            </w:pPr>
            <w:r>
              <w:rPr>
                <w:b w:val="0"/>
                <w:sz w:val="18"/>
              </w:rPr>
              <w:t>123,454 rows × 177 columns</w:t>
            </w:r>
          </w:p>
        </w:tc>
      </w:tr>
      <w:tr>
        <w:tc>
          <w:tcPr>
            <w:tcW w:type="dxa" w:w="5100"/>
            <w:vAlign w:val="center"/>
          </w:tcPr>
          <w:p>
            <w:pPr>
              <w:jc w:val="left"/>
            </w:pPr>
            <w:r>
              <w:rPr>
                <w:b w:val="0"/>
                <w:sz w:val="18"/>
              </w:rPr>
              <w:t>Old benchmark shape</w:t>
            </w:r>
          </w:p>
        </w:tc>
        <w:tc>
          <w:tcPr>
            <w:tcW w:type="dxa" w:w="5100"/>
            <w:vAlign w:val="center"/>
          </w:tcPr>
          <w:p>
            <w:pPr>
              <w:jc w:val="left"/>
            </w:pPr>
            <w:r>
              <w:rPr>
                <w:b w:val="0"/>
                <w:sz w:val="18"/>
              </w:rPr>
              <w:t>1,460 rows × 81 columns</w:t>
            </w:r>
          </w:p>
        </w:tc>
      </w:tr>
      <w:tr>
        <w:tc>
          <w:tcPr>
            <w:tcW w:type="dxa" w:w="5100"/>
            <w:vAlign w:val="center"/>
          </w:tcPr>
          <w:p>
            <w:pPr>
              <w:jc w:val="left"/>
            </w:pPr>
            <w:r>
              <w:rPr>
                <w:b w:val="0"/>
                <w:sz w:val="18"/>
              </w:rPr>
              <w:t>Row scale difference</w:t>
            </w:r>
          </w:p>
        </w:tc>
        <w:tc>
          <w:tcPr>
            <w:tcW w:type="dxa" w:w="5100"/>
            <w:vAlign w:val="center"/>
          </w:tcPr>
          <w:p>
            <w:pPr>
              <w:jc w:val="left"/>
            </w:pPr>
            <w:r>
              <w:rPr>
                <w:b w:val="0"/>
                <w:sz w:val="18"/>
              </w:rPr>
              <w:t>84.6x</w:t>
            </w:r>
          </w:p>
        </w:tc>
      </w:tr>
      <w:tr>
        <w:tc>
          <w:tcPr>
            <w:tcW w:type="dxa" w:w="5100"/>
            <w:vAlign w:val="center"/>
          </w:tcPr>
          <w:p>
            <w:pPr>
              <w:jc w:val="left"/>
            </w:pPr>
            <w:r>
              <w:rPr>
                <w:b w:val="0"/>
                <w:sz w:val="18"/>
              </w:rPr>
              <w:t>Column scale difference</w:t>
            </w:r>
          </w:p>
        </w:tc>
        <w:tc>
          <w:tcPr>
            <w:tcW w:type="dxa" w:w="5100"/>
            <w:vAlign w:val="center"/>
          </w:tcPr>
          <w:p>
            <w:pPr>
              <w:jc w:val="left"/>
            </w:pPr>
            <w:r>
              <w:rPr>
                <w:b w:val="0"/>
                <w:sz w:val="18"/>
              </w:rPr>
              <w:t>2.19x</w:t>
            </w:r>
          </w:p>
        </w:tc>
      </w:tr>
      <w:tr>
        <w:tc>
          <w:tcPr>
            <w:tcW w:type="dxa" w:w="5100"/>
            <w:vAlign w:val="center"/>
          </w:tcPr>
          <w:p>
            <w:pPr>
              <w:jc w:val="left"/>
            </w:pPr>
            <w:r>
              <w:rPr>
                <w:b w:val="0"/>
                <w:sz w:val="18"/>
              </w:rPr>
              <w:t>Main purpose</w:t>
            </w:r>
          </w:p>
        </w:tc>
        <w:tc>
          <w:tcPr>
            <w:tcW w:type="dxa" w:w="5100"/>
            <w:vAlign w:val="center"/>
          </w:tcPr>
          <w:p>
            <w:pPr>
              <w:jc w:val="left"/>
            </w:pPr>
            <w:r>
              <w:rPr>
                <w:b w:val="0"/>
                <w:sz w:val="18"/>
              </w:rPr>
              <w:t>Decision intelligence for Portugal real estate</w:t>
            </w:r>
          </w:p>
        </w:tc>
      </w:tr>
    </w:tbl>
    <w:p/>
    <w:p>
      <w:r>
        <w:rPr>
          <w:b/>
          <w:color w:val="18375D"/>
          <w:sz w:val="26"/>
        </w:rPr>
        <w:t>1. Old Dataset vs New AURA Dataset</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shd w:fill="D9EAF7"/>
            <w:vAlign w:val="center"/>
          </w:tcPr>
          <w:p>
            <w:pPr>
              <w:jc w:val="center"/>
            </w:pPr>
            <w:r>
              <w:rPr>
                <w:b/>
                <w:color w:val="18375D"/>
                <w:sz w:val="17"/>
              </w:rPr>
              <w:t>Aspect</w:t>
            </w:r>
          </w:p>
        </w:tc>
        <w:tc>
          <w:tcPr>
            <w:tcW w:type="dxa" w:w="2550"/>
            <w:shd w:fill="D9EAF7"/>
            <w:vAlign w:val="center"/>
          </w:tcPr>
          <w:p>
            <w:pPr>
              <w:jc w:val="center"/>
            </w:pPr>
            <w:r>
              <w:rPr>
                <w:b/>
                <w:color w:val="18375D"/>
                <w:sz w:val="17"/>
              </w:rPr>
              <w:t>Ames Housing</w:t>
            </w:r>
          </w:p>
        </w:tc>
        <w:tc>
          <w:tcPr>
            <w:tcW w:type="dxa" w:w="2550"/>
            <w:shd w:fill="D9EAF7"/>
            <w:vAlign w:val="center"/>
          </w:tcPr>
          <w:p>
            <w:pPr>
              <w:jc w:val="center"/>
            </w:pPr>
            <w:r>
              <w:rPr>
                <w:b/>
                <w:color w:val="18375D"/>
                <w:sz w:val="17"/>
              </w:rPr>
              <w:t>AURA Fusion</w:t>
            </w:r>
          </w:p>
        </w:tc>
        <w:tc>
          <w:tcPr>
            <w:tcW w:type="dxa" w:w="2550"/>
            <w:shd w:fill="D9EAF7"/>
            <w:vAlign w:val="center"/>
          </w:tcPr>
          <w:p>
            <w:pPr>
              <w:jc w:val="center"/>
            </w:pPr>
            <w:r>
              <w:rPr>
                <w:b/>
                <w:color w:val="18375D"/>
                <w:sz w:val="17"/>
              </w:rPr>
              <w:t>Practical difference</w:t>
            </w:r>
          </w:p>
        </w:tc>
      </w:tr>
      <w:tr>
        <w:tc>
          <w:tcPr>
            <w:tcW w:type="dxa" w:w="2550"/>
            <w:vAlign w:val="center"/>
          </w:tcPr>
          <w:p>
            <w:r>
              <w:rPr>
                <w:b w:val="0"/>
                <w:sz w:val="17"/>
              </w:rPr>
              <w:t>Rows</w:t>
            </w:r>
          </w:p>
        </w:tc>
        <w:tc>
          <w:tcPr>
            <w:tcW w:type="dxa" w:w="2550"/>
            <w:vAlign w:val="center"/>
          </w:tcPr>
          <w:p>
            <w:r>
              <w:rPr>
                <w:b w:val="0"/>
                <w:sz w:val="17"/>
              </w:rPr>
              <w:t>1,460</w:t>
            </w:r>
          </w:p>
        </w:tc>
        <w:tc>
          <w:tcPr>
            <w:tcW w:type="dxa" w:w="2550"/>
            <w:vAlign w:val="center"/>
          </w:tcPr>
          <w:p>
            <w:r>
              <w:rPr>
                <w:b w:val="0"/>
                <w:sz w:val="17"/>
              </w:rPr>
              <w:t>123,454</w:t>
            </w:r>
          </w:p>
        </w:tc>
        <w:tc>
          <w:tcPr>
            <w:tcW w:type="dxa" w:w="2550"/>
            <w:vAlign w:val="center"/>
          </w:tcPr>
          <w:p>
            <w:r>
              <w:rPr>
                <w:b w:val="0"/>
                <w:sz w:val="17"/>
              </w:rPr>
              <w:t>84.6x more rows</w:t>
            </w:r>
          </w:p>
        </w:tc>
      </w:tr>
      <w:tr>
        <w:tc>
          <w:tcPr>
            <w:tcW w:type="dxa" w:w="2550"/>
            <w:vAlign w:val="center"/>
          </w:tcPr>
          <w:p>
            <w:r>
              <w:rPr>
                <w:b w:val="0"/>
                <w:sz w:val="17"/>
              </w:rPr>
              <w:t>Columns</w:t>
            </w:r>
          </w:p>
        </w:tc>
        <w:tc>
          <w:tcPr>
            <w:tcW w:type="dxa" w:w="2550"/>
            <w:vAlign w:val="center"/>
          </w:tcPr>
          <w:p>
            <w:r>
              <w:rPr>
                <w:b w:val="0"/>
                <w:sz w:val="17"/>
              </w:rPr>
              <w:t>81</w:t>
            </w:r>
          </w:p>
        </w:tc>
        <w:tc>
          <w:tcPr>
            <w:tcW w:type="dxa" w:w="2550"/>
            <w:vAlign w:val="center"/>
          </w:tcPr>
          <w:p>
            <w:r>
              <w:rPr>
                <w:b w:val="0"/>
                <w:sz w:val="17"/>
              </w:rPr>
              <w:t>177</w:t>
            </w:r>
          </w:p>
        </w:tc>
        <w:tc>
          <w:tcPr>
            <w:tcW w:type="dxa" w:w="2550"/>
            <w:vAlign w:val="center"/>
          </w:tcPr>
          <w:p>
            <w:r>
              <w:rPr>
                <w:b w:val="0"/>
                <w:sz w:val="17"/>
              </w:rPr>
              <w:t>2.19x more columns</w:t>
            </w:r>
          </w:p>
        </w:tc>
      </w:tr>
      <w:tr>
        <w:tc>
          <w:tcPr>
            <w:tcW w:type="dxa" w:w="2550"/>
            <w:vAlign w:val="center"/>
          </w:tcPr>
          <w:p>
            <w:r>
              <w:rPr>
                <w:b w:val="0"/>
                <w:sz w:val="17"/>
              </w:rPr>
              <w:t>Target / Output style</w:t>
            </w:r>
          </w:p>
        </w:tc>
        <w:tc>
          <w:tcPr>
            <w:tcW w:type="dxa" w:w="2550"/>
            <w:vAlign w:val="center"/>
          </w:tcPr>
          <w:p>
            <w:r>
              <w:rPr>
                <w:b w:val="0"/>
                <w:sz w:val="17"/>
              </w:rPr>
              <w:t>Single target: SalePrice</w:t>
            </w:r>
          </w:p>
        </w:tc>
        <w:tc>
          <w:tcPr>
            <w:tcW w:type="dxa" w:w="2550"/>
            <w:vAlign w:val="center"/>
          </w:tcPr>
          <w:p>
            <w:r>
              <w:rPr>
                <w:b w:val="0"/>
                <w:sz w:val="17"/>
              </w:rPr>
              <w:t>Multi-layer decision table</w:t>
            </w:r>
          </w:p>
        </w:tc>
        <w:tc>
          <w:tcPr>
            <w:tcW w:type="dxa" w:w="2550"/>
            <w:vAlign w:val="center"/>
          </w:tcPr>
          <w:p>
            <w:r>
              <w:rPr>
                <w:b w:val="0"/>
                <w:sz w:val="17"/>
              </w:rPr>
              <w:t>Much richer, explainable outputs</w:t>
            </w:r>
          </w:p>
        </w:tc>
      </w:tr>
      <w:tr>
        <w:tc>
          <w:tcPr>
            <w:tcW w:type="dxa" w:w="2550"/>
            <w:vAlign w:val="center"/>
          </w:tcPr>
          <w:p>
            <w:r>
              <w:rPr>
                <w:b w:val="0"/>
                <w:sz w:val="17"/>
              </w:rPr>
              <w:t>Scope</w:t>
            </w:r>
          </w:p>
        </w:tc>
        <w:tc>
          <w:tcPr>
            <w:tcW w:type="dxa" w:w="2550"/>
            <w:vAlign w:val="center"/>
          </w:tcPr>
          <w:p>
            <w:r>
              <w:rPr>
                <w:b w:val="0"/>
                <w:sz w:val="17"/>
              </w:rPr>
              <w:t>One-city benchmark dataset</w:t>
            </w:r>
          </w:p>
        </w:tc>
        <w:tc>
          <w:tcPr>
            <w:tcW w:type="dxa" w:w="2550"/>
            <w:vAlign w:val="center"/>
          </w:tcPr>
          <w:p>
            <w:r>
              <w:rPr>
                <w:b w:val="0"/>
                <w:sz w:val="17"/>
              </w:rPr>
              <w:t>Portugal-wide intelligence stack</w:t>
            </w:r>
          </w:p>
        </w:tc>
        <w:tc>
          <w:tcPr>
            <w:tcW w:type="dxa" w:w="2550"/>
            <w:vAlign w:val="center"/>
          </w:tcPr>
          <w:p>
            <w:r>
              <w:rPr>
                <w:b w:val="0"/>
                <w:sz w:val="17"/>
              </w:rPr>
              <w:t>Better local relevance</w:t>
            </w:r>
          </w:p>
        </w:tc>
      </w:tr>
      <w:tr>
        <w:tc>
          <w:tcPr>
            <w:tcW w:type="dxa" w:w="2550"/>
            <w:vAlign w:val="center"/>
          </w:tcPr>
          <w:p>
            <w:r>
              <w:rPr>
                <w:b w:val="0"/>
                <w:sz w:val="17"/>
              </w:rPr>
              <w:t>Feature types</w:t>
            </w:r>
          </w:p>
        </w:tc>
        <w:tc>
          <w:tcPr>
            <w:tcW w:type="dxa" w:w="2550"/>
            <w:vAlign w:val="center"/>
          </w:tcPr>
          <w:p>
            <w:r>
              <w:rPr>
                <w:b w:val="0"/>
                <w:sz w:val="17"/>
              </w:rPr>
              <w:t>Mostly house attributes</w:t>
            </w:r>
          </w:p>
        </w:tc>
        <w:tc>
          <w:tcPr>
            <w:tcW w:type="dxa" w:w="2550"/>
            <w:vAlign w:val="center"/>
          </w:tcPr>
          <w:p>
            <w:r>
              <w:rPr>
                <w:b w:val="0"/>
                <w:sz w:val="17"/>
              </w:rPr>
              <w:t>Listings + macro + socio + spatial + regulatory</w:t>
            </w:r>
          </w:p>
        </w:tc>
        <w:tc>
          <w:tcPr>
            <w:tcW w:type="dxa" w:w="2550"/>
            <w:vAlign w:val="center"/>
          </w:tcPr>
          <w:p>
            <w:r>
              <w:rPr>
                <w:b w:val="0"/>
                <w:sz w:val="17"/>
              </w:rPr>
              <w:t>Broader causal coverage</w:t>
            </w:r>
          </w:p>
        </w:tc>
      </w:tr>
      <w:tr>
        <w:tc>
          <w:tcPr>
            <w:tcW w:type="dxa" w:w="2550"/>
            <w:vAlign w:val="center"/>
          </w:tcPr>
          <w:p>
            <w:r>
              <w:rPr>
                <w:b w:val="0"/>
                <w:sz w:val="17"/>
              </w:rPr>
              <w:t>Model intent</w:t>
            </w:r>
          </w:p>
        </w:tc>
        <w:tc>
          <w:tcPr>
            <w:tcW w:type="dxa" w:w="2550"/>
            <w:vAlign w:val="center"/>
          </w:tcPr>
          <w:p>
            <w:r>
              <w:rPr>
                <w:b w:val="0"/>
                <w:sz w:val="17"/>
              </w:rPr>
              <w:t>Price prediction benchmark</w:t>
            </w:r>
          </w:p>
        </w:tc>
        <w:tc>
          <w:tcPr>
            <w:tcW w:type="dxa" w:w="2550"/>
            <w:vAlign w:val="center"/>
          </w:tcPr>
          <w:p>
            <w:r>
              <w:rPr>
                <w:b w:val="0"/>
                <w:sz w:val="17"/>
              </w:rPr>
              <w:t>Decision intelligence and scoring</w:t>
            </w:r>
          </w:p>
        </w:tc>
        <w:tc>
          <w:tcPr>
            <w:tcW w:type="dxa" w:w="2550"/>
            <w:vAlign w:val="center"/>
          </w:tcPr>
          <w:p>
            <w:r>
              <w:rPr>
                <w:b w:val="0"/>
                <w:sz w:val="17"/>
              </w:rPr>
              <w:t>Supports valuation + risk + recommendation</w:t>
            </w:r>
          </w:p>
        </w:tc>
      </w:tr>
    </w:tbl>
    <w:p>
      <w:r>
        <w:t>The Ames dataset is ideal as a compact benchmark for supervised learning, but AURA is a systems dataset. It layers market calibration, official ground truth, macroeconomics, socioeconomic context, spatial ESG proxies, and regulatory pressure onto the base property record.</w:t>
      </w:r>
    </w:p>
    <w:p>
      <w:r>
        <w:rPr>
          <w:b/>
          <w:color w:val="18375D"/>
          <w:sz w:val="26"/>
        </w:rPr>
        <w:t>2. The 7 Datasets in the Fusion Layer</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shd w:fill="D9EAF7"/>
            <w:vAlign w:val="center"/>
          </w:tcPr>
          <w:p>
            <w:pPr>
              <w:jc w:val="center"/>
            </w:pPr>
            <w:r>
              <w:rPr>
                <w:b/>
                <w:color w:val="18375D"/>
                <w:sz w:val="16"/>
              </w:rPr>
              <w:t>Layer</w:t>
            </w:r>
          </w:p>
        </w:tc>
        <w:tc>
          <w:tcPr>
            <w:tcW w:type="dxa" w:w="2040"/>
            <w:shd w:fill="D9EAF7"/>
            <w:vAlign w:val="center"/>
          </w:tcPr>
          <w:p>
            <w:pPr>
              <w:jc w:val="center"/>
            </w:pPr>
            <w:r>
              <w:rPr>
                <w:b/>
                <w:color w:val="18375D"/>
                <w:sz w:val="16"/>
              </w:rPr>
              <w:t>Role</w:t>
            </w:r>
          </w:p>
        </w:tc>
        <w:tc>
          <w:tcPr>
            <w:tcW w:type="dxa" w:w="2040"/>
            <w:shd w:fill="D9EAF7"/>
            <w:vAlign w:val="center"/>
          </w:tcPr>
          <w:p>
            <w:pPr>
              <w:jc w:val="center"/>
            </w:pPr>
            <w:r>
              <w:rPr>
                <w:b/>
                <w:color w:val="18375D"/>
                <w:sz w:val="16"/>
              </w:rPr>
              <w:t>Rows</w:t>
            </w:r>
          </w:p>
        </w:tc>
        <w:tc>
          <w:tcPr>
            <w:tcW w:type="dxa" w:w="2040"/>
            <w:shd w:fill="D9EAF7"/>
            <w:vAlign w:val="center"/>
          </w:tcPr>
          <w:p>
            <w:pPr>
              <w:jc w:val="center"/>
            </w:pPr>
            <w:r>
              <w:rPr>
                <w:b/>
                <w:color w:val="18375D"/>
                <w:sz w:val="16"/>
              </w:rPr>
              <w:t>Cols</w:t>
            </w:r>
          </w:p>
        </w:tc>
        <w:tc>
          <w:tcPr>
            <w:tcW w:type="dxa" w:w="2040"/>
            <w:shd w:fill="D9EAF7"/>
            <w:vAlign w:val="center"/>
          </w:tcPr>
          <w:p>
            <w:pPr>
              <w:jc w:val="center"/>
            </w:pPr>
            <w:r>
              <w:rPr>
                <w:b/>
                <w:color w:val="18375D"/>
                <w:sz w:val="16"/>
              </w:rPr>
              <w:t>Key properties</w:t>
            </w:r>
          </w:p>
        </w:tc>
      </w:tr>
      <w:tr>
        <w:tc>
          <w:tcPr>
            <w:tcW w:type="dxa" w:w="2040"/>
            <w:vAlign w:val="center"/>
          </w:tcPr>
          <w:p>
            <w:pPr>
              <w:jc w:val="center"/>
            </w:pPr>
            <w:r>
              <w:rPr>
                <w:b w:val="0"/>
                <w:sz w:val="16"/>
              </w:rPr>
              <w:t>Category 1</w:t>
            </w:r>
          </w:p>
        </w:tc>
        <w:tc>
          <w:tcPr>
            <w:tcW w:type="dxa" w:w="2040"/>
            <w:vAlign w:val="center"/>
          </w:tcPr>
          <w:p>
            <w:pPr>
              <w:jc w:val="left"/>
            </w:pPr>
            <w:r>
              <w:rPr>
                <w:b w:val="0"/>
                <w:sz w:val="16"/>
              </w:rPr>
              <w:t>Listings / seller behavior</w:t>
            </w:r>
          </w:p>
        </w:tc>
        <w:tc>
          <w:tcPr>
            <w:tcW w:type="dxa" w:w="2040"/>
            <w:vAlign w:val="center"/>
          </w:tcPr>
          <w:p>
            <w:pPr>
              <w:jc w:val="center"/>
            </w:pPr>
            <w:r>
              <w:rPr>
                <w:b w:val="0"/>
                <w:sz w:val="16"/>
              </w:rPr>
              <w:t>123,454</w:t>
            </w:r>
          </w:p>
        </w:tc>
        <w:tc>
          <w:tcPr>
            <w:tcW w:type="dxa" w:w="2040"/>
            <w:vAlign w:val="center"/>
          </w:tcPr>
          <w:p>
            <w:pPr>
              <w:jc w:val="center"/>
            </w:pPr>
            <w:r>
              <w:rPr>
                <w:b w:val="0"/>
                <w:sz w:val="16"/>
              </w:rPr>
              <w:t>56</w:t>
            </w:r>
          </w:p>
        </w:tc>
        <w:tc>
          <w:tcPr>
            <w:tcW w:type="dxa" w:w="2040"/>
            <w:vAlign w:val="center"/>
          </w:tcPr>
          <w:p>
            <w:pPr>
              <w:jc w:val="left"/>
            </w:pPr>
            <w:r>
              <w:rPr>
                <w:b w:val="0"/>
                <w:sz w:val="16"/>
              </w:rPr>
              <w:t>Property-level, current supply, structural attributes, price signals, local keys</w:t>
            </w:r>
          </w:p>
        </w:tc>
      </w:tr>
      <w:tr>
        <w:tc>
          <w:tcPr>
            <w:tcW w:type="dxa" w:w="2040"/>
            <w:vAlign w:val="center"/>
          </w:tcPr>
          <w:p>
            <w:pPr>
              <w:jc w:val="center"/>
            </w:pPr>
            <w:r>
              <w:rPr>
                <w:b w:val="0"/>
                <w:sz w:val="16"/>
              </w:rPr>
              <w:t>Category 1.2</w:t>
            </w:r>
          </w:p>
        </w:tc>
        <w:tc>
          <w:tcPr>
            <w:tcW w:type="dxa" w:w="2040"/>
            <w:vAlign w:val="center"/>
          </w:tcPr>
          <w:p>
            <w:pPr>
              <w:jc w:val="left"/>
            </w:pPr>
            <w:r>
              <w:rPr>
                <w:b w:val="0"/>
                <w:sz w:val="16"/>
              </w:rPr>
              <w:t>Calibration &amp; market dynamics</w:t>
            </w:r>
          </w:p>
        </w:tc>
        <w:tc>
          <w:tcPr>
            <w:tcW w:type="dxa" w:w="2040"/>
            <w:vAlign w:val="center"/>
          </w:tcPr>
          <w:p>
            <w:pPr>
              <w:jc w:val="center"/>
            </w:pPr>
            <w:r>
              <w:rPr>
                <w:b w:val="0"/>
                <w:sz w:val="16"/>
              </w:rPr>
              <w:t>4,638</w:t>
            </w:r>
          </w:p>
        </w:tc>
        <w:tc>
          <w:tcPr>
            <w:tcW w:type="dxa" w:w="2040"/>
            <w:vAlign w:val="center"/>
          </w:tcPr>
          <w:p>
            <w:pPr>
              <w:jc w:val="center"/>
            </w:pPr>
            <w:r>
              <w:rPr>
                <w:b w:val="0"/>
                <w:sz w:val="16"/>
              </w:rPr>
              <w:t>22</w:t>
            </w:r>
          </w:p>
        </w:tc>
        <w:tc>
          <w:tcPr>
            <w:tcW w:type="dxa" w:w="2040"/>
            <w:vAlign w:val="center"/>
          </w:tcPr>
          <w:p>
            <w:pPr>
              <w:jc w:val="left"/>
            </w:pPr>
            <w:r>
              <w:rPr>
                <w:b w:val="0"/>
                <w:sz w:val="16"/>
              </w:rPr>
              <w:t>Monthly regional pricing, trend momentum, price pressure, time-aware calibration</w:t>
            </w:r>
          </w:p>
        </w:tc>
      </w:tr>
      <w:tr>
        <w:tc>
          <w:tcPr>
            <w:tcW w:type="dxa" w:w="2040"/>
            <w:vAlign w:val="center"/>
          </w:tcPr>
          <w:p>
            <w:pPr>
              <w:jc w:val="center"/>
            </w:pPr>
            <w:r>
              <w:rPr>
                <w:b w:val="0"/>
                <w:sz w:val="16"/>
              </w:rPr>
              <w:t>Category 2</w:t>
            </w:r>
          </w:p>
        </w:tc>
        <w:tc>
          <w:tcPr>
            <w:tcW w:type="dxa" w:w="2040"/>
            <w:vAlign w:val="center"/>
          </w:tcPr>
          <w:p>
            <w:pPr>
              <w:jc w:val="left"/>
            </w:pPr>
            <w:r>
              <w:rPr>
                <w:b w:val="0"/>
                <w:sz w:val="16"/>
              </w:rPr>
              <w:t>Official market ground truth</w:t>
            </w:r>
          </w:p>
        </w:tc>
        <w:tc>
          <w:tcPr>
            <w:tcW w:type="dxa" w:w="2040"/>
            <w:vAlign w:val="center"/>
          </w:tcPr>
          <w:p>
            <w:pPr>
              <w:jc w:val="center"/>
            </w:pPr>
            <w:r>
              <w:rPr>
                <w:b w:val="0"/>
                <w:sz w:val="16"/>
              </w:rPr>
              <w:t>68</w:t>
            </w:r>
          </w:p>
        </w:tc>
        <w:tc>
          <w:tcPr>
            <w:tcW w:type="dxa" w:w="2040"/>
            <w:vAlign w:val="center"/>
          </w:tcPr>
          <w:p>
            <w:pPr>
              <w:jc w:val="center"/>
            </w:pPr>
            <w:r>
              <w:rPr>
                <w:b w:val="0"/>
                <w:sz w:val="16"/>
              </w:rPr>
              <w:t>15</w:t>
            </w:r>
          </w:p>
        </w:tc>
        <w:tc>
          <w:tcPr>
            <w:tcW w:type="dxa" w:w="2040"/>
            <w:vAlign w:val="center"/>
          </w:tcPr>
          <w:p>
            <w:pPr>
              <w:jc w:val="left"/>
            </w:pPr>
            <w:r>
              <w:rPr>
                <w:b w:val="0"/>
                <w:sz w:val="16"/>
              </w:rPr>
              <w:t>Quarterly HPI, new vs existing dwellings, national benchmark</w:t>
            </w:r>
          </w:p>
        </w:tc>
      </w:tr>
      <w:tr>
        <w:tc>
          <w:tcPr>
            <w:tcW w:type="dxa" w:w="2040"/>
            <w:vAlign w:val="center"/>
          </w:tcPr>
          <w:p>
            <w:pPr>
              <w:jc w:val="center"/>
            </w:pPr>
            <w:r>
              <w:rPr>
                <w:b w:val="0"/>
                <w:sz w:val="16"/>
              </w:rPr>
              <w:t>Category 3</w:t>
            </w:r>
          </w:p>
        </w:tc>
        <w:tc>
          <w:tcPr>
            <w:tcW w:type="dxa" w:w="2040"/>
            <w:vAlign w:val="center"/>
          </w:tcPr>
          <w:p>
            <w:pPr>
              <w:jc w:val="left"/>
            </w:pPr>
            <w:r>
              <w:rPr>
                <w:b w:val="0"/>
                <w:sz w:val="16"/>
              </w:rPr>
              <w:t>Financial &amp; macro demand layer</w:t>
            </w:r>
          </w:p>
        </w:tc>
        <w:tc>
          <w:tcPr>
            <w:tcW w:type="dxa" w:w="2040"/>
            <w:vAlign w:val="center"/>
          </w:tcPr>
          <w:p>
            <w:pPr>
              <w:jc w:val="center"/>
            </w:pPr>
            <w:r>
              <w:rPr>
                <w:b w:val="0"/>
                <w:sz w:val="16"/>
              </w:rPr>
              <w:t>87</w:t>
            </w:r>
          </w:p>
        </w:tc>
        <w:tc>
          <w:tcPr>
            <w:tcW w:type="dxa" w:w="2040"/>
            <w:vAlign w:val="center"/>
          </w:tcPr>
          <w:p>
            <w:pPr>
              <w:jc w:val="center"/>
            </w:pPr>
            <w:r>
              <w:rPr>
                <w:b w:val="0"/>
                <w:sz w:val="16"/>
              </w:rPr>
              <w:t>24</w:t>
            </w:r>
          </w:p>
        </w:tc>
        <w:tc>
          <w:tcPr>
            <w:tcW w:type="dxa" w:w="2040"/>
            <w:vAlign w:val="center"/>
          </w:tcPr>
          <w:p>
            <w:pPr>
              <w:jc w:val="left"/>
            </w:pPr>
            <w:r>
              <w:rPr>
                <w:b w:val="0"/>
                <w:sz w:val="16"/>
              </w:rPr>
              <w:t>Interest-rate / credit signals, affordability, liquidity and demand shocks</w:t>
            </w:r>
          </w:p>
        </w:tc>
      </w:tr>
      <w:tr>
        <w:tc>
          <w:tcPr>
            <w:tcW w:type="dxa" w:w="2040"/>
            <w:vAlign w:val="center"/>
          </w:tcPr>
          <w:p>
            <w:pPr>
              <w:jc w:val="center"/>
            </w:pPr>
            <w:r>
              <w:rPr>
                <w:b w:val="0"/>
                <w:sz w:val="16"/>
              </w:rPr>
              <w:t>Category 4</w:t>
            </w:r>
          </w:p>
        </w:tc>
        <w:tc>
          <w:tcPr>
            <w:tcW w:type="dxa" w:w="2040"/>
            <w:vAlign w:val="center"/>
          </w:tcPr>
          <w:p>
            <w:pPr>
              <w:jc w:val="left"/>
            </w:pPr>
            <w:r>
              <w:rPr>
                <w:b w:val="0"/>
                <w:sz w:val="16"/>
              </w:rPr>
              <w:t>Socioeconomic context</w:t>
            </w:r>
          </w:p>
        </w:tc>
        <w:tc>
          <w:tcPr>
            <w:tcW w:type="dxa" w:w="2040"/>
            <w:vAlign w:val="center"/>
          </w:tcPr>
          <w:p>
            <w:pPr>
              <w:jc w:val="center"/>
            </w:pPr>
            <w:r>
              <w:rPr>
                <w:b w:val="0"/>
                <w:sz w:val="16"/>
              </w:rPr>
              <w:t>980</w:t>
            </w:r>
          </w:p>
        </w:tc>
        <w:tc>
          <w:tcPr>
            <w:tcW w:type="dxa" w:w="2040"/>
            <w:vAlign w:val="center"/>
          </w:tcPr>
          <w:p>
            <w:pPr>
              <w:jc w:val="center"/>
            </w:pPr>
            <w:r>
              <w:rPr>
                <w:b w:val="0"/>
                <w:sz w:val="16"/>
              </w:rPr>
              <w:t>24</w:t>
            </w:r>
          </w:p>
        </w:tc>
        <w:tc>
          <w:tcPr>
            <w:tcW w:type="dxa" w:w="2040"/>
            <w:vAlign w:val="center"/>
          </w:tcPr>
          <w:p>
            <w:pPr>
              <w:jc w:val="left"/>
            </w:pPr>
            <w:r>
              <w:rPr>
                <w:b w:val="0"/>
                <w:sz w:val="16"/>
              </w:rPr>
              <w:t>Population, migration, income, unemployment, age structure</w:t>
            </w:r>
          </w:p>
        </w:tc>
      </w:tr>
      <w:tr>
        <w:tc>
          <w:tcPr>
            <w:tcW w:type="dxa" w:w="2040"/>
            <w:vAlign w:val="center"/>
          </w:tcPr>
          <w:p>
            <w:pPr>
              <w:jc w:val="center"/>
            </w:pPr>
            <w:r>
              <w:rPr>
                <w:b w:val="0"/>
                <w:sz w:val="16"/>
              </w:rPr>
              <w:t>Category 5</w:t>
            </w:r>
          </w:p>
        </w:tc>
        <w:tc>
          <w:tcPr>
            <w:tcW w:type="dxa" w:w="2040"/>
            <w:vAlign w:val="center"/>
          </w:tcPr>
          <w:p>
            <w:pPr>
              <w:jc w:val="left"/>
            </w:pPr>
            <w:r>
              <w:rPr>
                <w:b w:val="0"/>
                <w:sz w:val="16"/>
              </w:rPr>
              <w:t>Spatial ESG proxy layer</w:t>
            </w:r>
          </w:p>
        </w:tc>
        <w:tc>
          <w:tcPr>
            <w:tcW w:type="dxa" w:w="2040"/>
            <w:vAlign w:val="center"/>
          </w:tcPr>
          <w:p>
            <w:pPr>
              <w:jc w:val="center"/>
            </w:pPr>
            <w:r>
              <w:rPr>
                <w:b w:val="0"/>
                <w:sz w:val="16"/>
              </w:rPr>
              <w:t>2,065,764</w:t>
            </w:r>
          </w:p>
        </w:tc>
        <w:tc>
          <w:tcPr>
            <w:tcW w:type="dxa" w:w="2040"/>
            <w:vAlign w:val="center"/>
          </w:tcPr>
          <w:p>
            <w:pPr>
              <w:jc w:val="center"/>
            </w:pPr>
            <w:r>
              <w:rPr>
                <w:b w:val="0"/>
                <w:sz w:val="16"/>
              </w:rPr>
              <w:t>31</w:t>
            </w:r>
          </w:p>
        </w:tc>
        <w:tc>
          <w:tcPr>
            <w:tcW w:type="dxa" w:w="2040"/>
            <w:vAlign w:val="center"/>
          </w:tcPr>
          <w:p>
            <w:pPr>
              <w:jc w:val="left"/>
            </w:pPr>
            <w:r>
              <w:rPr>
                <w:b w:val="0"/>
                <w:sz w:val="16"/>
              </w:rPr>
              <w:t>Building footprints, geometry, compactness, density, renovation proxy</w:t>
            </w:r>
          </w:p>
        </w:tc>
      </w:tr>
      <w:tr>
        <w:tc>
          <w:tcPr>
            <w:tcW w:type="dxa" w:w="2040"/>
            <w:vAlign w:val="center"/>
          </w:tcPr>
          <w:p>
            <w:pPr>
              <w:jc w:val="center"/>
            </w:pPr>
            <w:r>
              <w:rPr>
                <w:b w:val="0"/>
                <w:sz w:val="16"/>
              </w:rPr>
              <w:t>Category 6</w:t>
            </w:r>
          </w:p>
        </w:tc>
        <w:tc>
          <w:tcPr>
            <w:tcW w:type="dxa" w:w="2040"/>
            <w:vAlign w:val="center"/>
          </w:tcPr>
          <w:p>
            <w:pPr>
              <w:jc w:val="left"/>
            </w:pPr>
            <w:r>
              <w:rPr>
                <w:b w:val="0"/>
                <w:sz w:val="16"/>
              </w:rPr>
              <w:t>Regulatory &amp; risk context</w:t>
            </w:r>
          </w:p>
        </w:tc>
        <w:tc>
          <w:tcPr>
            <w:tcW w:type="dxa" w:w="2040"/>
            <w:vAlign w:val="center"/>
          </w:tcPr>
          <w:p>
            <w:pPr>
              <w:jc w:val="center"/>
            </w:pPr>
            <w:r>
              <w:rPr>
                <w:b w:val="0"/>
                <w:sz w:val="16"/>
              </w:rPr>
              <w:t>11,809</w:t>
            </w:r>
          </w:p>
        </w:tc>
        <w:tc>
          <w:tcPr>
            <w:tcW w:type="dxa" w:w="2040"/>
            <w:vAlign w:val="center"/>
          </w:tcPr>
          <w:p>
            <w:pPr>
              <w:jc w:val="center"/>
            </w:pPr>
            <w:r>
              <w:rPr>
                <w:b w:val="0"/>
                <w:sz w:val="16"/>
              </w:rPr>
              <w:t>50</w:t>
            </w:r>
          </w:p>
        </w:tc>
        <w:tc>
          <w:tcPr>
            <w:tcW w:type="dxa" w:w="2040"/>
            <w:vAlign w:val="center"/>
          </w:tcPr>
          <w:p>
            <w:pPr>
              <w:jc w:val="left"/>
            </w:pPr>
            <w:r>
              <w:rPr>
                <w:b w:val="0"/>
                <w:sz w:val="16"/>
              </w:rPr>
              <w:t>RNAL short-term rental registry, capacity, risk, tourism pressure, compliance</w:t>
            </w:r>
          </w:p>
        </w:tc>
      </w:tr>
    </w:tbl>
    <w:p>
      <w:r>
        <w:t>The fusion is strongest because each layer carries a different kind of signal: current market supply, temporal calibration, official ground truth, national macro pressure, local socioeconomic context, spatial structure, and compliance risk.</w:t>
      </w:r>
    </w:p>
    <w:p>
      <w:r>
        <w:rPr>
          <w:b/>
          <w:color w:val="18375D"/>
          <w:sz w:val="26"/>
        </w:rPr>
        <w:t>3. What Each Layer Contributes</w:t>
      </w:r>
    </w:p>
    <w:p>
      <w:r>
        <w:rPr>
          <w:b/>
          <w:color w:val="18375D"/>
          <w:sz w:val="21"/>
        </w:rPr>
        <w:t xml:space="preserve">Category 1 — Listings: </w:t>
      </w:r>
      <w:r>
        <w:rPr>
          <w:sz w:val="21"/>
        </w:rPr>
        <w:t>This is the property-level base layer. It captures the current market supply, seller behavior, asking prices, structural attributes, and location keys. It is the row-level source of the decision table.</w:t>
      </w:r>
    </w:p>
    <w:p>
      <w:r>
        <w:rPr>
          <w:b/>
          <w:color w:val="18375D"/>
          <w:sz w:val="21"/>
        </w:rPr>
        <w:t xml:space="preserve">Category 1.2 — Calibration: </w:t>
      </w:r>
      <w:r>
        <w:rPr>
          <w:sz w:val="21"/>
        </w:rPr>
        <w:t>This layer adds monthly and regional price dynamics. It helps AURA distinguish temporary market noise from real trend changes and improves seller-side pricing decisions.</w:t>
      </w:r>
    </w:p>
    <w:p>
      <w:r>
        <w:rPr>
          <w:b/>
          <w:color w:val="18375D"/>
          <w:sz w:val="21"/>
        </w:rPr>
        <w:t xml:space="preserve">Category 2 — Official HPI: </w:t>
      </w:r>
      <w:r>
        <w:rPr>
          <w:sz w:val="21"/>
        </w:rPr>
        <w:t>This is the ground-truth anchor from Statistics Portugal. It normalizes the listing layer against official transaction-based market movement.</w:t>
      </w:r>
    </w:p>
    <w:p>
      <w:r>
        <w:rPr>
          <w:b/>
          <w:color w:val="18375D"/>
          <w:sz w:val="21"/>
        </w:rPr>
        <w:t xml:space="preserve">Category 3 — Macro / BPstat: </w:t>
      </w:r>
      <w:r>
        <w:rPr>
          <w:sz w:val="21"/>
        </w:rPr>
        <w:t>This layer adds demand-side pressure, credit conditions, and affordability context. It is important for explaining why a property is easier or harder to sell under a given interest-rate environment.</w:t>
      </w:r>
    </w:p>
    <w:p>
      <w:r>
        <w:rPr>
          <w:b/>
          <w:color w:val="18375D"/>
          <w:sz w:val="21"/>
        </w:rPr>
        <w:t xml:space="preserve">Category 4 — PORDATA Socioeconomic: </w:t>
      </w:r>
      <w:r>
        <w:rPr>
          <w:sz w:val="21"/>
        </w:rPr>
        <w:t>This layer captures neighborhood strength: population structure, migration, income, unemployment, and housing supply signals. It is the main context layer for demand, explainability, and local market interpretation.</w:t>
      </w:r>
    </w:p>
    <w:p>
      <w:r>
        <w:rPr>
          <w:b/>
          <w:color w:val="18375D"/>
          <w:sz w:val="21"/>
        </w:rPr>
        <w:t xml:space="preserve">Category 5 — Spatial ESG Proxy: </w:t>
      </w:r>
      <w:r>
        <w:rPr>
          <w:sz w:val="21"/>
        </w:rPr>
        <w:t>The building footprint layer provides geometry-based proxy signals: footprint area, compactness, density, renovation potential, and urban structure. It does not provide direct EPC labels, but it is strong enough to support ESG-like inference.</w:t>
      </w:r>
    </w:p>
    <w:p>
      <w:r>
        <w:rPr>
          <w:b/>
          <w:color w:val="18375D"/>
          <w:sz w:val="21"/>
        </w:rPr>
        <w:t xml:space="preserve">Category 6 — RNAL Compliance: </w:t>
      </w:r>
      <w:r>
        <w:rPr>
          <w:sz w:val="21"/>
        </w:rPr>
        <w:t>This layer adds short-term-rental registry and tourism pressure signals. It is the regulatory and demand-risk layer that helps AURA flag compliance risk, tourism intensity, and investment pressure zones.</w:t>
      </w:r>
    </w:p>
    <w:p>
      <w:r>
        <w:rPr>
          <w:b/>
          <w:color w:val="18375D"/>
          <w:sz w:val="26"/>
        </w:rPr>
        <w:t>4. Why the Fusion Changes the Result</w:t>
      </w:r>
    </w:p>
    <w:p>
      <w:pPr>
        <w:pStyle w:val="ListBullet"/>
      </w:pPr>
      <w:r>
        <w:t>It increases feature richness from mostly house-level attributes to market + macro + socioeconomic + regulatory intelligence.</w:t>
      </w:r>
    </w:p>
    <w:p>
      <w:pPr>
        <w:pStyle w:val="ListBullet"/>
      </w:pPr>
      <w:r>
        <w:t>It improves explainability because predictions can be justified by multiple layers rather than one model alone.</w:t>
      </w:r>
    </w:p>
    <w:p>
      <w:pPr>
        <w:pStyle w:val="ListBullet"/>
      </w:pPr>
      <w:r>
        <w:t>It reduces overfitting to a single market snapshot by adding official and longitudinal context.</w:t>
      </w:r>
    </w:p>
    <w:p>
      <w:pPr>
        <w:pStyle w:val="ListBullet"/>
      </w:pPr>
      <w:r>
        <w:t>It supports a decision engine, not just a price predictor, which is closer to the AURA vision and the supervisor notes.</w:t>
      </w:r>
    </w:p>
    <w:p>
      <w:r>
        <w:rPr>
          <w:b/>
          <w:color w:val="18375D"/>
          <w:sz w:val="26"/>
        </w:rPr>
        <w:t>5. Expected Difference in Results</w:t>
      </w:r>
    </w:p>
    <w:p>
      <w:r>
        <w:t>An exact numeric improvement cannot be stated honestly without training the same model on both datasets with the same split strategy, metrics, and preprocessing. However, the AURA dataset is expected to produce much better decision quality for Portugal because it adds causal context that Ames does not contain.</w:t>
      </w:r>
    </w:p>
    <w:p>
      <w:pPr>
        <w:pStyle w:val="ListBullet"/>
      </w:pPr>
      <w:r>
        <w:t>Better regional calibration: AURA should reduce systematic pricing bias across Portugal districts and municipalities.</w:t>
      </w:r>
    </w:p>
    <w:p>
      <w:pPr>
        <w:pStyle w:val="ListBullet"/>
      </w:pPr>
      <w:r>
        <w:t>Better explainability: the model can cite demand pressure, socioeconomic strength, regulatory pressure, and spatial structure.</w:t>
      </w:r>
    </w:p>
    <w:p>
      <w:pPr>
        <w:pStyle w:val="ListBullet"/>
      </w:pPr>
      <w:r>
        <w:t>Better robustness: the output is less dependent on a single static feature set and more aligned with real market dynamics.</w:t>
      </w:r>
    </w:p>
    <w:p>
      <w:pPr>
        <w:pStyle w:val="ListBullet"/>
      </w:pPr>
      <w:r>
        <w:t>Better product value: AURA can support investment scoring, risk alerts, and intelligence narratives, not just a sale-price estimate.</w:t>
      </w:r>
    </w:p>
    <w:p>
      <w:r>
        <w:rPr>
          <w:b/>
          <w:color w:val="18375D"/>
          <w:sz w:val="26"/>
        </w:rPr>
        <w:t>6. Caveats and Limitations</w:t>
      </w:r>
    </w:p>
    <w:p>
      <w:pPr>
        <w:pStyle w:val="ListBullet"/>
      </w:pPr>
      <w:r>
        <w:t>The fusion table is much larger, so training and loading will be heavier than with Ames.</w:t>
      </w:r>
    </w:p>
    <w:p>
      <w:pPr>
        <w:pStyle w:val="ListBullet"/>
      </w:pPr>
      <w:r>
        <w:t>Category 5 is aggregated globally in the current fusion because the building footprints do not yet have direct municipality join keys in the cleaned export.</w:t>
      </w:r>
    </w:p>
    <w:p>
      <w:pPr>
        <w:pStyle w:val="ListBullet"/>
      </w:pPr>
      <w:r>
        <w:t>The current report compares a benchmark regression dataset to a multi-layer intelligence dataset, so the comparison is conceptual rather than apples-to-apples.</w:t>
      </w:r>
    </w:p>
    <w:p>
      <w:r>
        <w:rPr>
          <w:b/>
          <w:color w:val="18375D"/>
          <w:sz w:val="26"/>
        </w:rPr>
        <w:t>7. Recommendation</w:t>
      </w:r>
    </w:p>
    <w:p>
      <w:r>
        <w:t>The right next step is to use AURA as the main dataset and keep Ames only as a reference benchmark. You should now build the model notebooks and scoring logic on top of the fused AURA master table, then compare metrics with a baseline model trained on a simpler subset of the same features.</w:t>
      </w:r>
    </w:p>
    <w:p>
      <w:r>
        <w:rPr>
          <w:b/>
          <w:color w:val="18375D"/>
          <w:sz w:val="24"/>
        </w:rPr>
        <w:t>Final verdict: the AURA dataset is the better platform for your project.</w:t>
      </w:r>
    </w:p>
    <w:p>
      <w:r>
        <w:rPr>
          <w:b/>
          <w:color w:val="18375D"/>
          <w:sz w:val="26"/>
        </w:rPr>
        <w:t>8. Recommended Evaluation Framework</w:t>
      </w:r>
    </w:p>
    <w:p>
      <w:r>
        <w:t>Use the same train/test split and the same regression model family on both datasets. That is the only fair way to measure whether AURA improves prediction quality as well as decision quality.</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shd w:fill="D9EAF7"/>
            <w:vAlign w:val="center"/>
          </w:tcPr>
          <w:p>
            <w:pPr>
              <w:jc w:val="center"/>
            </w:pPr>
            <w:r>
              <w:rPr>
                <w:b/>
                <w:color w:val="18375D"/>
                <w:sz w:val="17"/>
              </w:rPr>
              <w:t>Metric</w:t>
            </w:r>
          </w:p>
        </w:tc>
        <w:tc>
          <w:tcPr>
            <w:tcW w:type="dxa" w:w="2550"/>
            <w:shd w:fill="D9EAF7"/>
            <w:vAlign w:val="center"/>
          </w:tcPr>
          <w:p>
            <w:pPr>
              <w:jc w:val="center"/>
            </w:pPr>
            <w:r>
              <w:rPr>
                <w:b/>
                <w:color w:val="18375D"/>
                <w:sz w:val="17"/>
              </w:rPr>
              <w:t>Ames baseline</w:t>
            </w:r>
          </w:p>
        </w:tc>
        <w:tc>
          <w:tcPr>
            <w:tcW w:type="dxa" w:w="2550"/>
            <w:shd w:fill="D9EAF7"/>
            <w:vAlign w:val="center"/>
          </w:tcPr>
          <w:p>
            <w:pPr>
              <w:jc w:val="center"/>
            </w:pPr>
            <w:r>
              <w:rPr>
                <w:b/>
                <w:color w:val="18375D"/>
                <w:sz w:val="17"/>
              </w:rPr>
              <w:t>AURA fused table</w:t>
            </w:r>
          </w:p>
        </w:tc>
        <w:tc>
          <w:tcPr>
            <w:tcW w:type="dxa" w:w="2550"/>
            <w:shd w:fill="D9EAF7"/>
            <w:vAlign w:val="center"/>
          </w:tcPr>
          <w:p>
            <w:pPr>
              <w:jc w:val="center"/>
            </w:pPr>
            <w:r>
              <w:rPr>
                <w:b/>
                <w:color w:val="18375D"/>
                <w:sz w:val="17"/>
              </w:rPr>
              <w:t>Interpretation</w:t>
            </w:r>
          </w:p>
        </w:tc>
      </w:tr>
      <w:tr>
        <w:tc>
          <w:tcPr>
            <w:tcW w:type="dxa" w:w="2550"/>
            <w:vAlign w:val="center"/>
          </w:tcPr>
          <w:p>
            <w:r>
              <w:rPr>
                <w:b w:val="0"/>
                <w:sz w:val="16"/>
              </w:rPr>
              <w:t>MAE / RMSE</w:t>
            </w:r>
          </w:p>
        </w:tc>
        <w:tc>
          <w:tcPr>
            <w:tcW w:type="dxa" w:w="2550"/>
            <w:vAlign w:val="center"/>
          </w:tcPr>
          <w:p>
            <w:r>
              <w:rPr>
                <w:b w:val="0"/>
                <w:sz w:val="16"/>
              </w:rPr>
              <w:t>Classic benchmark</w:t>
            </w:r>
          </w:p>
        </w:tc>
        <w:tc>
          <w:tcPr>
            <w:tcW w:type="dxa" w:w="2550"/>
            <w:vAlign w:val="center"/>
          </w:tcPr>
          <w:p>
            <w:r>
              <w:rPr>
                <w:b w:val="0"/>
                <w:sz w:val="16"/>
              </w:rPr>
              <w:t>Should be stronger when context layers are used</w:t>
            </w:r>
          </w:p>
        </w:tc>
        <w:tc>
          <w:tcPr>
            <w:tcW w:type="dxa" w:w="2550"/>
            <w:vAlign w:val="center"/>
          </w:tcPr>
          <w:p>
            <w:r>
              <w:rPr>
                <w:b w:val="0"/>
                <w:sz w:val="16"/>
              </w:rPr>
              <w:t>Checks raw prediction error</w:t>
            </w:r>
          </w:p>
        </w:tc>
      </w:tr>
      <w:tr>
        <w:tc>
          <w:tcPr>
            <w:tcW w:type="dxa" w:w="2550"/>
            <w:vAlign w:val="center"/>
          </w:tcPr>
          <w:p>
            <w:r>
              <w:rPr>
                <w:b w:val="0"/>
                <w:sz w:val="16"/>
              </w:rPr>
              <w:t>R²</w:t>
            </w:r>
          </w:p>
        </w:tc>
        <w:tc>
          <w:tcPr>
            <w:tcW w:type="dxa" w:w="2550"/>
            <w:vAlign w:val="center"/>
          </w:tcPr>
          <w:p>
            <w:r>
              <w:rPr>
                <w:b w:val="0"/>
                <w:sz w:val="16"/>
              </w:rPr>
              <w:t>Useful baseline</w:t>
            </w:r>
          </w:p>
        </w:tc>
        <w:tc>
          <w:tcPr>
            <w:tcW w:type="dxa" w:w="2550"/>
            <w:vAlign w:val="center"/>
          </w:tcPr>
          <w:p>
            <w:r>
              <w:rPr>
                <w:b w:val="0"/>
                <w:sz w:val="16"/>
              </w:rPr>
              <w:t>Expected to be competitive or better on Portugal data</w:t>
            </w:r>
          </w:p>
        </w:tc>
        <w:tc>
          <w:tcPr>
            <w:tcW w:type="dxa" w:w="2550"/>
            <w:vAlign w:val="center"/>
          </w:tcPr>
          <w:p>
            <w:r>
              <w:rPr>
                <w:b w:val="0"/>
                <w:sz w:val="16"/>
              </w:rPr>
              <w:t>Checks fit quality</w:t>
            </w:r>
          </w:p>
        </w:tc>
      </w:tr>
      <w:tr>
        <w:tc>
          <w:tcPr>
            <w:tcW w:type="dxa" w:w="2550"/>
            <w:vAlign w:val="center"/>
          </w:tcPr>
          <w:p>
            <w:r>
              <w:rPr>
                <w:b w:val="0"/>
                <w:sz w:val="16"/>
              </w:rPr>
              <w:t>Explainability</w:t>
            </w:r>
          </w:p>
        </w:tc>
        <w:tc>
          <w:tcPr>
            <w:tcW w:type="dxa" w:w="2550"/>
            <w:vAlign w:val="center"/>
          </w:tcPr>
          <w:p>
            <w:r>
              <w:rPr>
                <w:b w:val="0"/>
                <w:sz w:val="16"/>
              </w:rPr>
              <w:t>Limited</w:t>
            </w:r>
          </w:p>
        </w:tc>
        <w:tc>
          <w:tcPr>
            <w:tcW w:type="dxa" w:w="2550"/>
            <w:vAlign w:val="center"/>
          </w:tcPr>
          <w:p>
            <w:r>
              <w:rPr>
                <w:b w:val="0"/>
                <w:sz w:val="16"/>
              </w:rPr>
              <w:t>Much stronger because of context layers</w:t>
            </w:r>
          </w:p>
        </w:tc>
        <w:tc>
          <w:tcPr>
            <w:tcW w:type="dxa" w:w="2550"/>
            <w:vAlign w:val="center"/>
          </w:tcPr>
          <w:p>
            <w:r>
              <w:rPr>
                <w:b w:val="0"/>
                <w:sz w:val="16"/>
              </w:rPr>
              <w:t>Checks decision support value</w:t>
            </w:r>
          </w:p>
        </w:tc>
      </w:tr>
      <w:tr>
        <w:tc>
          <w:tcPr>
            <w:tcW w:type="dxa" w:w="2550"/>
            <w:vAlign w:val="center"/>
          </w:tcPr>
          <w:p>
            <w:r>
              <w:rPr>
                <w:b w:val="0"/>
                <w:sz w:val="16"/>
              </w:rPr>
              <w:t>Regulatory awareness</w:t>
            </w:r>
          </w:p>
        </w:tc>
        <w:tc>
          <w:tcPr>
            <w:tcW w:type="dxa" w:w="2550"/>
            <w:vAlign w:val="center"/>
          </w:tcPr>
          <w:p>
            <w:r>
              <w:rPr>
                <w:b w:val="0"/>
                <w:sz w:val="16"/>
              </w:rPr>
              <w:t>Absent</w:t>
            </w:r>
          </w:p>
        </w:tc>
        <w:tc>
          <w:tcPr>
            <w:tcW w:type="dxa" w:w="2550"/>
            <w:vAlign w:val="center"/>
          </w:tcPr>
          <w:p>
            <w:r>
              <w:rPr>
                <w:b w:val="0"/>
                <w:sz w:val="16"/>
              </w:rPr>
              <w:t>Present through RNAL layer</w:t>
            </w:r>
          </w:p>
        </w:tc>
        <w:tc>
          <w:tcPr>
            <w:tcW w:type="dxa" w:w="2550"/>
            <w:vAlign w:val="center"/>
          </w:tcPr>
          <w:p>
            <w:r>
              <w:rPr>
                <w:b w:val="0"/>
                <w:sz w:val="16"/>
              </w:rPr>
              <w:t>Checks compliance intelligence</w:t>
            </w:r>
          </w:p>
        </w:tc>
      </w:tr>
    </w:tbl>
    <w:p>
      <w:r>
        <w:t>Recommended practical sequence: train a simple baseline on Ames-style inputs, then train the AURA model, then compare both on error metrics and on interpretability. The stronger system should win on explanation, regional realism, and risk awareness even before it wins on pure numeric accuracy.</w:t>
      </w:r>
    </w:p>
    <w:sectPr w:rsidR="00FC693F" w:rsidRPr="0006063C" w:rsidSect="00034616">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