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0F3B66"/>
            <w:tcMar>
              <w:top w:w="180" w:type="dxa"/>
              <w:start w:w="220" w:type="dxa"/>
              <w:bottom w:w="180" w:type="dxa"/>
              <w:end w:w="220" w:type="dxa"/>
            </w:tcMar>
          </w:tcPr>
          <w:p>
            <w:pPr>
              <w:jc w:val="center"/>
            </w:pPr>
            <w:r>
              <w:rPr>
                <w:rFonts w:ascii="Aptos" w:hAnsi="Aptos"/>
                <w:b/>
                <w:i w:val="0"/>
                <w:color w:val="FFFFFF"/>
                <w:sz w:val="56"/>
              </w:rPr>
              <w:t>AURA v2</w:t>
            </w:r>
          </w:p>
          <w:p>
            <w:pPr>
              <w:jc w:val="center"/>
            </w:pPr>
            <w:r>
              <w:rPr>
                <w:rFonts w:ascii="Aptos" w:hAnsi="Aptos"/>
                <w:b/>
                <w:i w:val="0"/>
                <w:color w:val="DDEAF6"/>
                <w:sz w:val="32"/>
              </w:rPr>
              <w:t>Adaptive Unified Real Estate Intelligence Engine</w:t>
            </w:r>
          </w:p>
        </w:tc>
      </w:tr>
    </w:tbl>
    <w:p>
      <w:pPr>
        <w:spacing w:line="240" w:lineRule="auto"/>
        <w:jc w:val="center"/>
      </w:pPr>
      <w:r>
        <w:rPr>
          <w:rFonts w:ascii="Aptos" w:hAnsi="Aptos"/>
          <w:b/>
          <w:i w:val="0"/>
          <w:color w:val="0F3B66"/>
          <w:sz w:val="36"/>
        </w:rPr>
        <w:br/>
        <w:t>Master Strategic Blueprint for Portugal Real Estate Intelligence</w:t>
      </w:r>
    </w:p>
    <w:p>
      <w:pPr>
        <w:spacing w:line="240" w:lineRule="auto"/>
        <w:jc w:val="center"/>
      </w:pPr>
      <w:r>
        <w:rPr>
          <w:rFonts w:ascii="Aptos" w:hAnsi="Aptos"/>
          <w:b w:val="0"/>
          <w:i/>
          <w:color w:val="555555"/>
          <w:sz w:val="24"/>
        </w:rPr>
        <w:t>Synthesized and refined from Files 1–11</w:t>
      </w:r>
    </w:p>
    <w:tbl>
      <w:tblPr>
        <w:tblStyle w:val="TableGrid"/>
        <w:tblW w:type="auto" w:w="0"/>
        <w:jc w:val="center"/>
        <w:tblLayout w:type="fixed"/>
        <w:tblLook w:firstColumn="1" w:firstRow="1" w:lastColumn="0" w:lastRow="0" w:noHBand="0" w:noVBand="1" w:val="04A0"/>
      </w:tblPr>
      <w:tblGrid>
        <w:gridCol w:w="4968"/>
        <w:gridCol w:w="4968"/>
      </w:tblGrid>
      <w:tr>
        <w:tc>
          <w:tcPr>
            <w:tcW w:type="dxa" w:w="3024"/>
            <w:tcMar>
              <w:top w:w="90" w:type="dxa"/>
              <w:start w:w="120" w:type="dxa"/>
              <w:bottom w:w="90" w:type="dxa"/>
              <w:end w:w="120" w:type="dxa"/>
            </w:tcMar>
            <w:shd w:fill="EAF2F8"/>
            <w:vAlign w:val="center"/>
          </w:tcPr>
          <w:p>
            <w:r>
              <w:rPr>
                <w:rFonts w:ascii="Aptos" w:hAnsi="Aptos"/>
                <w:b/>
                <w:i w:val="0"/>
                <w:color w:val="0F3B66"/>
                <w:sz w:val="21"/>
              </w:rPr>
              <w:t>Prepared for</w:t>
            </w:r>
          </w:p>
        </w:tc>
        <w:tc>
          <w:tcPr>
            <w:tcW w:type="dxa" w:w="6480"/>
            <w:tcMar>
              <w:top w:w="90" w:type="dxa"/>
              <w:start w:w="120" w:type="dxa"/>
              <w:bottom w:w="90" w:type="dxa"/>
              <w:end w:w="120" w:type="dxa"/>
            </w:tcMar>
            <w:vAlign w:val="center"/>
          </w:tcPr>
          <w:p>
            <w:r>
              <w:rPr>
                <w:rFonts w:ascii="Aptos" w:hAnsi="Aptos"/>
                <w:b w:val="0"/>
                <w:i w:val="0"/>
                <w:color w:val="1F1F1F"/>
                <w:sz w:val="21"/>
              </w:rPr>
              <w:t>Academic supervision, prototype hardening, and product transition</w:t>
            </w:r>
          </w:p>
        </w:tc>
      </w:tr>
      <w:tr>
        <w:tc>
          <w:tcPr>
            <w:tcW w:type="dxa" w:w="3024"/>
            <w:tcMar>
              <w:top w:w="90" w:type="dxa"/>
              <w:start w:w="120" w:type="dxa"/>
              <w:bottom w:w="90" w:type="dxa"/>
              <w:end w:w="120" w:type="dxa"/>
            </w:tcMar>
            <w:shd w:fill="EAF2F8"/>
            <w:vAlign w:val="center"/>
          </w:tcPr>
          <w:p>
            <w:r>
              <w:rPr>
                <w:rFonts w:ascii="Aptos" w:hAnsi="Aptos"/>
                <w:b/>
                <w:i w:val="0"/>
                <w:color w:val="0F3B66"/>
                <w:sz w:val="21"/>
              </w:rPr>
              <w:t>Scope</w:t>
            </w:r>
          </w:p>
        </w:tc>
        <w:tc>
          <w:tcPr>
            <w:tcW w:type="dxa" w:w="6480"/>
            <w:tcMar>
              <w:top w:w="90" w:type="dxa"/>
              <w:start w:w="120" w:type="dxa"/>
              <w:bottom w:w="90" w:type="dxa"/>
              <w:end w:w="120" w:type="dxa"/>
            </w:tcMar>
            <w:vAlign w:val="center"/>
          </w:tcPr>
          <w:p>
            <w:r>
              <w:rPr>
                <w:rFonts w:ascii="Aptos" w:hAnsi="Aptos"/>
                <w:b w:val="0"/>
                <w:i w:val="0"/>
                <w:color w:val="1F1F1F"/>
                <w:sz w:val="21"/>
              </w:rPr>
              <w:t>Portugal-focused PropTech AI platform, market adaptation, and execution roadmap</w:t>
            </w:r>
          </w:p>
        </w:tc>
      </w:tr>
      <w:tr>
        <w:tc>
          <w:tcPr>
            <w:tcW w:type="dxa" w:w="3024"/>
            <w:tcMar>
              <w:top w:w="90" w:type="dxa"/>
              <w:start w:w="120" w:type="dxa"/>
              <w:bottom w:w="90" w:type="dxa"/>
              <w:end w:w="120" w:type="dxa"/>
            </w:tcMar>
            <w:shd w:fill="EAF2F8"/>
            <w:vAlign w:val="center"/>
          </w:tcPr>
          <w:p>
            <w:r>
              <w:rPr>
                <w:rFonts w:ascii="Aptos" w:hAnsi="Aptos"/>
                <w:b/>
                <w:i w:val="0"/>
                <w:color w:val="0F3B66"/>
                <w:sz w:val="21"/>
              </w:rPr>
              <w:t>Core engines</w:t>
            </w:r>
          </w:p>
        </w:tc>
        <w:tc>
          <w:tcPr>
            <w:tcW w:type="dxa" w:w="6480"/>
            <w:tcMar>
              <w:top w:w="90" w:type="dxa"/>
              <w:start w:w="120" w:type="dxa"/>
              <w:bottom w:w="90" w:type="dxa"/>
              <w:end w:w="120" w:type="dxa"/>
            </w:tcMar>
            <w:vAlign w:val="center"/>
          </w:tcPr>
          <w:p>
            <w:r>
              <w:rPr>
                <w:rFonts w:ascii="Aptos" w:hAnsi="Aptos"/>
                <w:b w:val="0"/>
                <w:i w:val="0"/>
                <w:color w:val="1F1F1F"/>
                <w:sz w:val="21"/>
              </w:rPr>
              <w:t>OpenClaw (execution), MiroFish (simulation), Paperclip (orchestration)</w:t>
            </w:r>
          </w:p>
        </w:tc>
      </w:tr>
      <w:tr>
        <w:tc>
          <w:tcPr>
            <w:tcW w:type="dxa" w:w="3024"/>
            <w:tcMar>
              <w:top w:w="90" w:type="dxa"/>
              <w:start w:w="120" w:type="dxa"/>
              <w:bottom w:w="90" w:type="dxa"/>
              <w:end w:w="120" w:type="dxa"/>
            </w:tcMar>
            <w:shd w:fill="EAF2F8"/>
            <w:vAlign w:val="center"/>
          </w:tcPr>
          <w:p>
            <w:r>
              <w:rPr>
                <w:rFonts w:ascii="Aptos" w:hAnsi="Aptos"/>
                <w:b/>
                <w:i w:val="0"/>
                <w:color w:val="0F3B66"/>
                <w:sz w:val="21"/>
              </w:rPr>
              <w:t>Strategic focus</w:t>
            </w:r>
          </w:p>
        </w:tc>
        <w:tc>
          <w:tcPr>
            <w:tcW w:type="dxa" w:w="6480"/>
            <w:tcMar>
              <w:top w:w="90" w:type="dxa"/>
              <w:start w:w="120" w:type="dxa"/>
              <w:bottom w:w="90" w:type="dxa"/>
              <w:end w:w="120" w:type="dxa"/>
            </w:tcMar>
            <w:vAlign w:val="center"/>
          </w:tcPr>
          <w:p>
            <w:r>
              <w:rPr>
                <w:rFonts w:ascii="Aptos" w:hAnsi="Aptos"/>
                <w:b w:val="0"/>
                <w:i w:val="0"/>
                <w:color w:val="1F1F1F"/>
                <w:sz w:val="21"/>
              </w:rPr>
              <w:t>Conversational AI first, then marketing, ESG, valuation, due diligence, and scale</w:t>
            </w:r>
          </w:p>
        </w:tc>
      </w:tr>
    </w:tbl>
    <w:p>
      <w:pPr>
        <w:spacing w:line="240" w:lineRule="auto"/>
      </w:pPr>
    </w:p>
    <w:tbl>
      <w:tblPr>
        <w:tblW w:type="auto" w:w="0"/>
        <w:jc w:val="center"/>
        <w:tblLayout w:type="autofit"/>
        <w:tblLook w:firstColumn="1" w:firstRow="1" w:lastColumn="0" w:lastRow="0" w:noHBand="0" w:noVBand="1" w:val="04A0"/>
      </w:tblPr>
      <w:tblGrid>
        <w:gridCol w:w="9936"/>
      </w:tblGrid>
      <w:tr>
        <w:tc>
          <w:tcPr>
            <w:tcW w:type="dxa" w:w="9936"/>
            <w:shd w:fill="FFF4D6"/>
            <w:tcMar>
              <w:top w:w="120" w:type="dxa"/>
              <w:start w:w="140" w:type="dxa"/>
              <w:bottom w:w="120" w:type="dxa"/>
              <w:end w:w="140" w:type="dxa"/>
            </w:tcMar>
          </w:tcPr>
          <w:p>
            <w:pPr>
              <w:spacing w:after="0"/>
            </w:pPr>
            <w:r>
              <w:rPr>
                <w:rFonts w:ascii="Aptos" w:hAnsi="Aptos"/>
                <w:b/>
                <w:i w:val="0"/>
                <w:color w:val="7A4A00"/>
                <w:sz w:val="22"/>
              </w:rPr>
              <w:t>Confidential Working Report</w:t>
              <w:br/>
            </w:r>
            <w:r>
              <w:rPr>
                <w:rFonts w:ascii="Aptos" w:hAnsi="Aptos"/>
                <w:b w:val="0"/>
                <w:i w:val="0"/>
                <w:color w:val="1F1F1F"/>
                <w:sz w:val="21"/>
              </w:rPr>
              <w:t>This blueprint consolidates the market, technology, compliance, and product strategy needed to evolve AURA from a prototype into a deployable Portugal PropTech intelligence system.</w:t>
            </w:r>
          </w:p>
        </w:tc>
      </w:tr>
    </w:tbl>
    <w:p>
      <w:pPr>
        <w:spacing w:line="240" w:lineRule="auto"/>
      </w:pPr>
      <w:r>
        <w:br w:type="page"/>
      </w:r>
    </w:p>
    <w:p>
      <w:pPr>
        <w:pStyle w:val="Heading1"/>
        <w:spacing w:before="240" w:after="120" w:line="240" w:lineRule="auto"/>
      </w:pPr>
    </w:p>
    <w:p>
      <w:pPr>
        <w:pStyle w:val="ListBullet"/>
        <w:spacing w:after="40" w:line="240" w:lineRule="auto"/>
      </w:pPr>
      <w:r>
        <w:rPr>
          <w:rFonts w:ascii="Aptos" w:hAnsi="Aptos"/>
          <w:b w:val="0"/>
          <w:i w:val="0"/>
          <w:color w:val="1F1F1F"/>
          <w:sz w:val="21"/>
        </w:rPr>
        <w:t>Executive Summary</w:t>
      </w:r>
    </w:p>
    <w:p>
      <w:pPr>
        <w:pStyle w:val="ListBullet"/>
        <w:spacing w:after="40" w:line="240" w:lineRule="auto"/>
      </w:pPr>
      <w:r>
        <w:rPr>
          <w:rFonts w:ascii="Aptos" w:hAnsi="Aptos"/>
          <w:b w:val="0"/>
          <w:i w:val="0"/>
          <w:color w:val="1F1F1F"/>
          <w:sz w:val="21"/>
        </w:rPr>
        <w:t>1. Strategic Context</w:t>
      </w:r>
    </w:p>
    <w:p>
      <w:pPr>
        <w:pStyle w:val="ListBullet"/>
        <w:spacing w:after="40" w:line="240" w:lineRule="auto"/>
      </w:pPr>
      <w:r>
        <w:rPr>
          <w:rFonts w:ascii="Aptos" w:hAnsi="Aptos"/>
          <w:b w:val="0"/>
          <w:i w:val="0"/>
          <w:color w:val="1F1F1F"/>
          <w:sz w:val="21"/>
        </w:rPr>
        <w:t>2. AURA v2 Architecture</w:t>
      </w:r>
    </w:p>
    <w:p>
      <w:pPr>
        <w:pStyle w:val="ListBullet"/>
        <w:spacing w:after="40" w:line="240" w:lineRule="auto"/>
      </w:pPr>
      <w:r>
        <w:rPr>
          <w:rFonts w:ascii="Aptos" w:hAnsi="Aptos"/>
          <w:b w:val="0"/>
          <w:i w:val="0"/>
          <w:color w:val="1F1F1F"/>
          <w:sz w:val="21"/>
        </w:rPr>
        <w:t>3. Data Strategy and Market Intelligence Layer</w:t>
      </w:r>
    </w:p>
    <w:p>
      <w:pPr>
        <w:pStyle w:val="ListBullet"/>
        <w:spacing w:after="40" w:line="240" w:lineRule="auto"/>
      </w:pPr>
      <w:r>
        <w:rPr>
          <w:rFonts w:ascii="Aptos" w:hAnsi="Aptos"/>
          <w:b w:val="0"/>
          <w:i w:val="0"/>
          <w:color w:val="1F1F1F"/>
          <w:sz w:val="21"/>
        </w:rPr>
        <w:t>4. Priority Opportunity Portfolio</w:t>
      </w:r>
    </w:p>
    <w:p>
      <w:pPr>
        <w:pStyle w:val="ListBullet"/>
        <w:spacing w:after="40" w:line="240" w:lineRule="auto"/>
      </w:pPr>
      <w:r>
        <w:rPr>
          <w:rFonts w:ascii="Aptos" w:hAnsi="Aptos"/>
          <w:b w:val="0"/>
          <w:i w:val="0"/>
          <w:color w:val="1F1F1F"/>
          <w:sz w:val="21"/>
        </w:rPr>
        <w:t>5. AURA v2 Functional Blueprint</w:t>
      </w:r>
    </w:p>
    <w:p>
      <w:pPr>
        <w:pStyle w:val="ListBullet"/>
        <w:spacing w:after="40" w:line="240" w:lineRule="auto"/>
      </w:pPr>
      <w:r>
        <w:rPr>
          <w:rFonts w:ascii="Aptos" w:hAnsi="Aptos"/>
          <w:b w:val="0"/>
          <w:i w:val="0"/>
          <w:color w:val="1F1F1F"/>
          <w:sz w:val="21"/>
        </w:rPr>
        <w:t>6. Governance, Compliance, and Risk Control</w:t>
      </w:r>
    </w:p>
    <w:p>
      <w:pPr>
        <w:pStyle w:val="ListBullet"/>
        <w:spacing w:after="40" w:line="240" w:lineRule="auto"/>
      </w:pPr>
      <w:r>
        <w:rPr>
          <w:rFonts w:ascii="Aptos" w:hAnsi="Aptos"/>
          <w:b w:val="0"/>
          <w:i w:val="0"/>
          <w:color w:val="1F1F1F"/>
          <w:sz w:val="21"/>
        </w:rPr>
        <w:t>7. Roadmap from Prototype to Product</w:t>
      </w:r>
    </w:p>
    <w:p>
      <w:pPr>
        <w:pStyle w:val="ListBullet"/>
        <w:spacing w:after="40" w:line="240" w:lineRule="auto"/>
      </w:pPr>
      <w:r>
        <w:rPr>
          <w:rFonts w:ascii="Aptos" w:hAnsi="Aptos"/>
          <w:b w:val="0"/>
          <w:i w:val="0"/>
          <w:color w:val="1F1F1F"/>
          <w:sz w:val="21"/>
        </w:rPr>
        <w:t>8. KPI and Economics Framework</w:t>
      </w:r>
    </w:p>
    <w:p>
      <w:pPr>
        <w:pStyle w:val="ListBullet"/>
        <w:spacing w:after="40" w:line="240" w:lineRule="auto"/>
      </w:pPr>
      <w:r>
        <w:rPr>
          <w:rFonts w:ascii="Aptos" w:hAnsi="Aptos"/>
          <w:b w:val="0"/>
          <w:i w:val="0"/>
          <w:color w:val="1F1F1F"/>
          <w:sz w:val="21"/>
        </w:rPr>
        <w:t>9. Technology Stack Synthesis</w:t>
      </w:r>
    </w:p>
    <w:p>
      <w:pPr>
        <w:pStyle w:val="ListBullet"/>
        <w:spacing w:after="40" w:line="240" w:lineRule="auto"/>
      </w:pPr>
      <w:r>
        <w:rPr>
          <w:rFonts w:ascii="Aptos" w:hAnsi="Aptos"/>
          <w:b w:val="0"/>
          <w:i w:val="0"/>
          <w:color w:val="1F1F1F"/>
          <w:sz w:val="21"/>
        </w:rPr>
        <w:t>10. Appendix A: File-by-File Synthesis</w:t>
      </w:r>
    </w:p>
    <w:p>
      <w:pPr>
        <w:pStyle w:val="ListBullet"/>
        <w:spacing w:after="40" w:line="240" w:lineRule="auto"/>
      </w:pPr>
      <w:r>
        <w:rPr>
          <w:rFonts w:ascii="Aptos" w:hAnsi="Aptos"/>
          <w:b w:val="0"/>
          <w:i w:val="0"/>
          <w:color w:val="1F1F1F"/>
          <w:sz w:val="21"/>
        </w:rPr>
        <w:t>11. Final Conclusion</w:t>
      </w:r>
    </w:p>
    <w:p>
      <w:pPr>
        <w:pStyle w:val="ListBullet"/>
        <w:spacing w:after="40" w:line="240" w:lineRule="auto"/>
      </w:pPr>
      <w:r>
        <w:rPr>
          <w:rFonts w:ascii="Aptos" w:hAnsi="Aptos"/>
          <w:b w:val="0"/>
          <w:i w:val="0"/>
          <w:color w:val="1F1F1F"/>
          <w:sz w:val="21"/>
        </w:rPr>
        <w:t>12. Implementation Checklist and Next Actions</w:t>
      </w:r>
    </w:p>
    <w:p>
      <w:pPr>
        <w:spacing w:after="0" w:before="0" w:line="240" w:lineRule="auto"/>
      </w:pPr>
      <w:r>
        <w:rPr>
          <w:rFonts w:ascii="Aptos" w:hAnsi="Aptos"/>
          <w:b w:val="0"/>
          <w:i w:val="0"/>
          <w:color w:val="1F1F1F"/>
          <w:sz w:val="22"/>
        </w:rPr>
        <w:t>This report synthesizes Files 1–11 into a single master blueprint for AURA v2.</w:t>
      </w:r>
    </w:p>
    <w:p>
      <w:pPr>
        <w:spacing w:line="240" w:lineRule="auto"/>
      </w:pPr>
      <w:r>
        <w:br w:type="page"/>
      </w:r>
    </w:p>
    <w:p>
      <w:pPr>
        <w:pStyle w:val="Heading1"/>
        <w:spacing w:before="240" w:after="120" w:line="240" w:lineRule="auto"/>
      </w:pPr>
    </w:p>
    <w:tbl>
      <w:tblPr>
        <w:tblW w:type="auto" w:w="0"/>
        <w:jc w:val="center"/>
        <w:tblLayout w:type="autofit"/>
        <w:tblLook w:firstColumn="1" w:firstRow="1" w:lastColumn="0" w:lastRow="0" w:noHBand="0" w:noVBand="1" w:val="04A0"/>
      </w:tblPr>
      <w:tblGrid>
        <w:gridCol w:w="9936"/>
      </w:tblGrid>
      <w:tr>
        <w:tc>
          <w:tcPr>
            <w:tcW w:type="dxa" w:w="9936"/>
            <w:shd w:fill="F3F7FB"/>
            <w:tcMar>
              <w:top w:w="120" w:type="dxa"/>
              <w:start w:w="140" w:type="dxa"/>
              <w:bottom w:w="120" w:type="dxa"/>
              <w:end w:w="140" w:type="dxa"/>
            </w:tcMar>
          </w:tcPr>
          <w:p>
            <w:pPr>
              <w:spacing w:after="0"/>
            </w:pPr>
            <w:r>
              <w:rPr>
                <w:rFonts w:ascii="Aptos" w:hAnsi="Aptos"/>
                <w:b/>
                <w:i w:val="0"/>
                <w:color w:val="0F3B66"/>
                <w:sz w:val="22"/>
              </w:rPr>
              <w:t>Section Overview</w:t>
              <w:br/>
            </w:r>
            <w:r>
              <w:rPr>
                <w:rFonts w:ascii="Aptos" w:hAnsi="Aptos"/>
                <w:b w:val="0"/>
                <w:i w:val="0"/>
                <w:color w:val="1F1F1F"/>
                <w:sz w:val="21"/>
              </w:rPr>
              <w:t>AURA is an adaptive, multi-agent real estate intelligence system designed to turn fragmented market data into actionable investment decisions. The source files converge on a single conclusion: Portugal is an unusually strong market for an AI-native PropTech stack because it combines strong foreign demand, localized regulatory complexity, weak AI adoption among many agents, and a data environment that rewards multi-source fusion rather than single-source analytics.</w:t>
            </w:r>
          </w:p>
        </w:tc>
      </w:tr>
    </w:tbl>
    <w:p>
      <w:pPr>
        <w:spacing w:after="160" w:before="0" w:line="240" w:lineRule="auto"/>
      </w:pPr>
      <w:r>
        <w:rPr>
          <w:rFonts w:ascii="Aptos" w:hAnsi="Aptos"/>
          <w:b w:val="0"/>
          <w:i w:val="0"/>
          <w:color w:val="1F1F1F"/>
          <w:sz w:val="22"/>
        </w:rPr>
        <w:t>The winning strategy is not to build a generic dashboard or a single predictive model. The winning strategy is to build an operating system composed of four layers: data collection and fusion, simulation and forecasting, execution and automation, and governance and human oversight. In that architecture, OpenClaw functions as the execution layer, MiroFish as the simulation layer, Paperclip as the organizational and company-orchestration layer, and AURA as the decision layer that converts those capabilities into business outcomes.</w:t>
      </w:r>
    </w:p>
    <w:p>
      <w:pPr>
        <w:spacing w:after="160" w:before="0" w:line="240" w:lineRule="auto"/>
      </w:pPr>
      <w:r>
        <w:rPr>
          <w:rFonts w:ascii="Aptos" w:hAnsi="Aptos"/>
          <w:b w:val="0"/>
          <w:i w:val="0"/>
          <w:color w:val="1F1F1F"/>
          <w:sz w:val="22"/>
        </w:rPr>
        <w:t>The practical conclusion is equally consistent across the files: the best initial product is bilingual conversational AI for lead qualification and customer response, especially through WhatsApp-native workflows. That entry point is the fastest path to revenue, the easiest to pilot, and the most compatible with the actual behavior of Portuguese agents and international buyers. From there, the platform should expand into marketing automation, ESG and energy-efficiency intelligence, predictive valuation, due diligence, cross-border transaction support, and eventually a broader multi-agent investment company.</w:t>
      </w:r>
    </w:p>
    <w:p>
      <w:pPr>
        <w:spacing w:after="160" w:before="0" w:line="240" w:lineRule="auto"/>
      </w:pPr>
      <w:r>
        <w:rPr>
          <w:rFonts w:ascii="Aptos" w:hAnsi="Aptos"/>
          <w:b w:val="0"/>
          <w:i w:val="0"/>
          <w:color w:val="1F1F1F"/>
          <w:sz w:val="22"/>
        </w:rPr>
        <w:t>The supervision notes are directly addressed by this merged blueprint. The system must use multiple data sources, incorporate external market factors such as tourism, FX, energy, and macro policy, remain explainable, and stay decision-oriented rather than purely predictive. For that reason, the report emphasizes data fusion, explainable outputs, controlled automation, human-in-the-loop checkpoints, and a phased roadmap from prototype to production.</w:t>
      </w:r>
    </w:p>
    <w:tbl>
      <w:tblPr>
        <w:tblW w:type="auto" w:w="0"/>
        <w:jc w:val="center"/>
        <w:tblLayout w:type="autofit"/>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tcPr>
          <w:p>
            <w:pPr>
              <w:spacing w:after="0"/>
            </w:pPr>
            <w:r>
              <w:rPr>
                <w:rFonts w:ascii="Aptos" w:hAnsi="Aptos"/>
                <w:b/>
                <w:i w:val="0"/>
                <w:color w:val="0F3B66"/>
                <w:sz w:val="22"/>
              </w:rPr>
              <w:t>Master Recommendation</w:t>
              <w:br/>
            </w:r>
            <w:r>
              <w:rPr>
                <w:rFonts w:ascii="Aptos" w:hAnsi="Aptos"/>
                <w:b w:val="0"/>
                <w:i w:val="0"/>
                <w:color w:val="1F1F1F"/>
                <w:sz w:val="21"/>
              </w:rPr>
              <w:t>Build the platform in the following order: (1) conversational AI and lead response, (2) marketing automation and virtual staging, (3) ESG and compliance intelligence, (4) valuation and due diligence, (5) cross-border transaction support, and (6) simulation-driven portfolio intelligence. This sequence matches both the market urgency and the technical maturity curve across the source files.</w:t>
            </w:r>
          </w:p>
        </w:tc>
      </w:tr>
    </w:tbl>
    <w:p>
      <w:pPr>
        <w:pStyle w:val="Heading1"/>
        <w:spacing w:before="240" w:after="120" w:line="240" w:lineRule="auto"/>
      </w:pPr>
    </w:p>
    <w:tbl>
      <w:tblPr>
        <w:tblW w:type="auto" w:w="0"/>
        <w:jc w:val="center"/>
        <w:tblLayout w:type="autofit"/>
        <w:tblLook w:firstColumn="1" w:firstRow="1" w:lastColumn="0" w:lastRow="0" w:noHBand="0" w:noVBand="1" w:val="04A0"/>
      </w:tblPr>
      <w:tblGrid>
        <w:gridCol w:w="9936"/>
      </w:tblGrid>
      <w:tr>
        <w:tc>
          <w:tcPr>
            <w:tcW w:type="dxa" w:w="9936"/>
            <w:shd w:fill="F3F7FB"/>
            <w:tcMar>
              <w:top w:w="120" w:type="dxa"/>
              <w:start w:w="140" w:type="dxa"/>
              <w:bottom w:w="120" w:type="dxa"/>
              <w:end w:w="140" w:type="dxa"/>
            </w:tcMar>
          </w:tcPr>
          <w:p>
            <w:pPr>
              <w:spacing w:after="0"/>
            </w:pPr>
            <w:r>
              <w:rPr>
                <w:rFonts w:ascii="Aptos" w:hAnsi="Aptos"/>
                <w:b/>
                <w:i w:val="0"/>
                <w:color w:val="0F3B66"/>
                <w:sz w:val="22"/>
              </w:rPr>
              <w:t>Section Overview</w:t>
              <w:br/>
            </w:r>
            <w:r>
              <w:rPr>
                <w:rFonts w:ascii="Aptos" w:hAnsi="Aptos"/>
                <w:b w:val="0"/>
                <w:i w:val="0"/>
                <w:color w:val="1F1F1F"/>
                <w:sz w:val="21"/>
              </w:rPr>
              <w:t>The Portugal files establish a consistent market thesis. Lisbon, Porto, and the Algarve are the main demand corridors, but each behaves differently. Lisbon is the highest-value, supply-constrained, international urban market; Porto is a lower-entry, growing technology city with improving accessibility; and the Algarve is tourism-driven and heavily influenced by lifestyle migration, short-term rental economics, and foreign buyer behavior.</w:t>
            </w:r>
          </w:p>
        </w:tc>
      </w:tr>
    </w:tbl>
    <w:p>
      <w:pPr>
        <w:spacing w:after="160" w:before="0" w:line="240" w:lineRule="auto"/>
      </w:pPr>
      <w:r>
        <w:rPr>
          <w:rFonts w:ascii="Aptos" w:hAnsi="Aptos"/>
          <w:b w:val="0"/>
          <w:i w:val="0"/>
          <w:color w:val="1F1F1F"/>
          <w:sz w:val="22"/>
        </w:rPr>
        <w:t>Another recurring market signal is the post-Golden Visa shift. Once the real-estate route was closed, the buyer mix moved away from speculative capital and toward lifestyle, remote-work, retirement, and cross-border convenience seekers. That shift makes experience, neighborhood fit, tax clarity, energy performance, and remote decision support much more important than simplistic return-on-investment calculations.</w:t>
      </w:r>
    </w:p>
    <w:p>
      <w:pPr>
        <w:spacing w:after="160" w:before="0" w:line="240" w:lineRule="auto"/>
      </w:pPr>
      <w:r>
        <w:rPr>
          <w:rFonts w:ascii="Aptos" w:hAnsi="Aptos"/>
          <w:b w:val="0"/>
          <w:i w:val="0"/>
          <w:color w:val="1F1F1F"/>
          <w:sz w:val="22"/>
        </w:rPr>
        <w:t>The market is also characterized by operational fragmentation. Many agents still rely on WhatsApp, spreadsheets, and portal-by-portal manual work. That creates the exact opening where an AI-native system can outperform incumbents: not by replacing the market, but by compressing the time and cognitive load required to source, qualify, value, and close deals.</w:t>
      </w:r>
    </w:p>
    <w:p>
      <w:pPr>
        <w:pStyle w:val="Heading2"/>
        <w:spacing w:before="160" w:after="80" w:line="240" w:lineRule="auto"/>
      </w:pPr>
    </w:p>
    <w:p>
      <w:pPr>
        <w:spacing w:after="120" w:before="0" w:line="240" w:lineRule="auto"/>
      </w:pPr>
      <w:r>
        <w:rPr>
          <w:rFonts w:ascii="Aptos" w:hAnsi="Aptos"/>
          <w:b w:val="0"/>
          <w:i w:val="0"/>
          <w:color w:val="1F1F1F"/>
          <w:sz w:val="22"/>
        </w:rPr>
        <w:t>The global landscape reports all converge on one idea: 2026 is the year PropTech moved from assistive AI to agentic AI. Assistive AI answers questions or drafts content, but agentic AI plans, reasons, and executes multi-step workflows. This matters because real estate workflows are inherently multi-step and interdependent: a lead must be qualified, matched, followed up, validated, scheduled, underwritten, compliance-checked, and then reported on.</w:t>
      </w:r>
    </w:p>
    <w:p>
      <w:pPr>
        <w:spacing w:after="120" w:before="0" w:line="240" w:lineRule="auto"/>
      </w:pPr>
      <w:r>
        <w:rPr>
          <w:rFonts w:ascii="Aptos" w:hAnsi="Aptos"/>
          <w:b w:val="0"/>
          <w:i w:val="0"/>
          <w:color w:val="1F1F1F"/>
          <w:sz w:val="22"/>
        </w:rPr>
        <w:t>The files repeatedly cite growth-stage production examples: EliseAI in tenant communication, Ylopo in voice and lead response, Skyline AI in valuation, Cherre in data fusion, Juniper Square in fund administration, and Aldar in digital-twin-enabled operations. Those examples prove that the market is no longer asking whether AI works; it is asking which stack composition creates durable advantage.</w:t>
      </w:r>
    </w:p>
    <w:p>
      <w:pPr>
        <w:pStyle w:val="Heading1"/>
        <w:spacing w:before="240" w:after="120" w:line="240" w:lineRule="auto"/>
      </w:pPr>
    </w:p>
    <w:tbl>
      <w:tblPr>
        <w:tblW w:type="auto" w:w="0"/>
        <w:jc w:val="center"/>
        <w:tblLayout w:type="autofit"/>
        <w:tblLook w:firstColumn="1" w:firstRow="1" w:lastColumn="0" w:lastRow="0" w:noHBand="0" w:noVBand="1" w:val="04A0"/>
      </w:tblPr>
      <w:tblGrid>
        <w:gridCol w:w="9936"/>
      </w:tblGrid>
      <w:tr>
        <w:tc>
          <w:tcPr>
            <w:tcW w:type="dxa" w:w="9936"/>
            <w:shd w:fill="F3F7FB"/>
            <w:tcMar>
              <w:top w:w="120" w:type="dxa"/>
              <w:start w:w="140" w:type="dxa"/>
              <w:bottom w:w="120" w:type="dxa"/>
              <w:end w:w="140" w:type="dxa"/>
            </w:tcMar>
          </w:tcPr>
          <w:p>
            <w:pPr>
              <w:spacing w:after="0"/>
            </w:pPr>
            <w:r>
              <w:rPr>
                <w:rFonts w:ascii="Aptos" w:hAnsi="Aptos"/>
                <w:b/>
                <w:i w:val="0"/>
                <w:color w:val="0F3B66"/>
                <w:sz w:val="22"/>
              </w:rPr>
              <w:t>Section Overview</w:t>
              <w:br/>
            </w:r>
            <w:r>
              <w:rPr>
                <w:rFonts w:ascii="Aptos" w:hAnsi="Aptos"/>
                <w:b w:val="0"/>
                <w:i w:val="0"/>
                <w:color w:val="1F1F1F"/>
                <w:sz w:val="21"/>
              </w:rPr>
              <w:t>AURA v2 should be understood as an operating system for real estate intelligence rather than a single application. The architecture separates five responsibilities: data ingestion and fusion, simulation, execution, orchestration, and governance.</w:t>
            </w:r>
          </w:p>
        </w:tc>
      </w:tr>
    </w:tbl>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224"/>
            <w:shd w:fill="0F3B66"/>
            <w:tcMar>
              <w:top w:w="100" w:type="dxa"/>
              <w:start w:w="120" w:type="dxa"/>
              <w:bottom w:w="100" w:type="dxa"/>
              <w:end w:w="120" w:type="dxa"/>
            </w:tcMar>
            <w:vAlign w:val="center"/>
          </w:tcPr>
          <w:p>
            <w:pPr>
              <w:jc w:val="center"/>
            </w:pPr>
            <w:r>
              <w:rPr>
                <w:rFonts w:ascii="Aptos" w:hAnsi="Aptos"/>
                <w:b/>
                <w:i w:val="0"/>
                <w:color w:val="FFFFFF"/>
                <w:sz w:val="19"/>
              </w:rPr>
              <w:t>Layer</w:t>
            </w:r>
          </w:p>
        </w:tc>
        <w:tc>
          <w:tcPr>
            <w:tcW w:type="dxa" w:w="2808"/>
            <w:shd w:fill="0F3B66"/>
            <w:tcMar>
              <w:top w:w="100" w:type="dxa"/>
              <w:start w:w="120" w:type="dxa"/>
              <w:bottom w:w="100" w:type="dxa"/>
              <w:end w:w="120" w:type="dxa"/>
            </w:tcMar>
            <w:vAlign w:val="center"/>
          </w:tcPr>
          <w:p>
            <w:pPr>
              <w:jc w:val="center"/>
            </w:pPr>
            <w:r>
              <w:rPr>
                <w:rFonts w:ascii="Aptos" w:hAnsi="Aptos"/>
                <w:b/>
                <w:i w:val="0"/>
                <w:color w:val="FFFFFF"/>
                <w:sz w:val="19"/>
              </w:rPr>
              <w:t>Role in AURA</w:t>
            </w:r>
          </w:p>
        </w:tc>
        <w:tc>
          <w:tcPr>
            <w:tcW w:type="dxa" w:w="3384"/>
            <w:shd w:fill="0F3B66"/>
            <w:tcMar>
              <w:top w:w="100" w:type="dxa"/>
              <w:start w:w="120" w:type="dxa"/>
              <w:bottom w:w="100" w:type="dxa"/>
              <w:end w:w="120" w:type="dxa"/>
            </w:tcMar>
            <w:vAlign w:val="center"/>
          </w:tcPr>
          <w:p>
            <w:pPr>
              <w:jc w:val="center"/>
            </w:pPr>
            <w:r>
              <w:rPr>
                <w:rFonts w:ascii="Aptos" w:hAnsi="Aptos"/>
                <w:b/>
                <w:i w:val="0"/>
                <w:color w:val="FFFFFF"/>
                <w:sz w:val="19"/>
              </w:rPr>
              <w:t>Key Technologies</w:t>
            </w:r>
          </w:p>
        </w:tc>
        <w:tc>
          <w:tcPr>
            <w:tcW w:type="dxa" w:w="1944"/>
            <w:shd w:fill="0F3B66"/>
            <w:tcMar>
              <w:top w:w="100" w:type="dxa"/>
              <w:start w:w="120" w:type="dxa"/>
              <w:bottom w:w="100" w:type="dxa"/>
              <w:end w:w="120" w:type="dxa"/>
            </w:tcMar>
            <w:vAlign w:val="center"/>
          </w:tcPr>
          <w:p>
            <w:pPr>
              <w:jc w:val="center"/>
            </w:pPr>
            <w:r>
              <w:rPr>
                <w:rFonts w:ascii="Aptos" w:hAnsi="Aptos"/>
                <w:b/>
                <w:i w:val="0"/>
                <w:color w:val="FFFFFF"/>
                <w:sz w:val="19"/>
              </w:rPr>
              <w:t>Primary Output</w:t>
            </w:r>
          </w:p>
        </w:tc>
      </w:tr>
      <w:tr>
        <w:tc>
          <w:tcPr>
            <w:tcW w:type="dxa" w:w="1224"/>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Data</w:t>
            </w:r>
          </w:p>
        </w:tc>
        <w:tc>
          <w:tcPr>
            <w:tcW w:type="dxa" w:w="280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Collect and normalize raw information</w:t>
            </w:r>
          </w:p>
        </w:tc>
        <w:tc>
          <w:tcPr>
            <w:tcW w:type="dxa" w:w="3384"/>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Idealista, Imovirtual, INE, ECB, ADENE, OSINT, satellite</w:t>
            </w:r>
          </w:p>
        </w:tc>
        <w:tc>
          <w:tcPr>
            <w:tcW w:type="dxa" w:w="194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Unified data lake and feature store</w:t>
            </w:r>
          </w:p>
        </w:tc>
      </w:tr>
      <w:tr>
        <w:tc>
          <w:tcPr>
            <w:tcW w:type="dxa" w:w="1224"/>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Simulation</w:t>
            </w:r>
          </w:p>
        </w:tc>
        <w:tc>
          <w:tcPr>
            <w:tcW w:type="dxa" w:w="280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Test future scenarios and market reactions</w:t>
            </w:r>
          </w:p>
        </w:tc>
        <w:tc>
          <w:tcPr>
            <w:tcW w:type="dxa" w:w="338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MiroFish, scenario rules, macro variables</w:t>
            </w:r>
          </w:p>
        </w:tc>
        <w:tc>
          <w:tcPr>
            <w:tcW w:type="dxa" w:w="194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Probabilistic scenarios and stress cases</w:t>
            </w:r>
          </w:p>
        </w:tc>
      </w:tr>
      <w:tr>
        <w:tc>
          <w:tcPr>
            <w:tcW w:type="dxa" w:w="1224"/>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Execution</w:t>
            </w:r>
          </w:p>
        </w:tc>
        <w:tc>
          <w:tcPr>
            <w:tcW w:type="dxa" w:w="280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Perform tasks and communicate results</w:t>
            </w:r>
          </w:p>
        </w:tc>
        <w:tc>
          <w:tcPr>
            <w:tcW w:type="dxa" w:w="338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OpenClaw, WhatsApp, email, CRM, browser automation</w:t>
            </w:r>
          </w:p>
        </w:tc>
        <w:tc>
          <w:tcPr>
            <w:tcW w:type="dxa" w:w="194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Automated workflows and action alerts</w:t>
            </w:r>
          </w:p>
        </w:tc>
      </w:tr>
      <w:tr>
        <w:tc>
          <w:tcPr>
            <w:tcW w:type="dxa" w:w="1224"/>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Orchestration</w:t>
            </w:r>
          </w:p>
        </w:tc>
        <w:tc>
          <w:tcPr>
            <w:tcW w:type="dxa" w:w="280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Coordinate agent roles and company logic</w:t>
            </w:r>
          </w:p>
        </w:tc>
        <w:tc>
          <w:tcPr>
            <w:tcW w:type="dxa" w:w="338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Paperclip, LangGraph, CrewAI, Beam AI</w:t>
            </w:r>
          </w:p>
        </w:tc>
        <w:tc>
          <w:tcPr>
            <w:tcW w:type="dxa" w:w="194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Role-based workflow control</w:t>
            </w:r>
          </w:p>
        </w:tc>
      </w:tr>
      <w:tr>
        <w:tc>
          <w:tcPr>
            <w:tcW w:type="dxa" w:w="1224"/>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Governance</w:t>
            </w:r>
          </w:p>
        </w:tc>
        <w:tc>
          <w:tcPr>
            <w:tcW w:type="dxa" w:w="280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Enforce oversight, privacy, and compliance</w:t>
            </w:r>
          </w:p>
        </w:tc>
        <w:tc>
          <w:tcPr>
            <w:tcW w:type="dxa" w:w="338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Human approvals, logs, policies, audit trails</w:t>
            </w:r>
          </w:p>
        </w:tc>
        <w:tc>
          <w:tcPr>
            <w:tcW w:type="dxa" w:w="194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Explainable, defensible decision support</w:t>
            </w:r>
          </w:p>
        </w:tc>
      </w:tr>
    </w:tbl>
    <w:p>
      <w:pPr>
        <w:pStyle w:val="Heading2"/>
        <w:spacing w:before="160" w:after="80" w:line="240" w:lineRule="auto"/>
      </w:pPr>
    </w:p>
    <w:p>
      <w:pPr>
        <w:spacing w:after="80" w:line="240" w:lineRule="auto"/>
        <w:ind w:left="0"/>
      </w:pPr>
      <w:r>
        <w:rPr>
          <w:rFonts w:ascii="Aptos" w:hAnsi="Aptos"/>
          <w:b/>
          <w:i w:val="0"/>
          <w:color w:val="0F3B66"/>
          <w:sz w:val="22"/>
        </w:rPr>
        <w:t xml:space="preserve">OpenClaw </w:t>
      </w:r>
      <w:r>
        <w:rPr>
          <w:rFonts w:ascii="Aptos" w:hAnsi="Aptos"/>
          <w:b w:val="0"/>
          <w:i w:val="0"/>
          <w:color w:val="1F1F1F"/>
          <w:sz w:val="22"/>
        </w:rPr>
        <w:t>the execution layer: it responds, acts, schedules, extracts, and automates across messaging channels, CRM systems, and web tasks.</w:t>
      </w:r>
    </w:p>
    <w:p>
      <w:pPr>
        <w:spacing w:after="80" w:line="240" w:lineRule="auto"/>
        <w:ind w:left="0"/>
      </w:pPr>
      <w:r>
        <w:rPr>
          <w:rFonts w:ascii="Aptos" w:hAnsi="Aptos"/>
          <w:b/>
          <w:i w:val="0"/>
          <w:color w:val="0F3B66"/>
          <w:sz w:val="22"/>
        </w:rPr>
        <w:t xml:space="preserve">MiroFish </w:t>
      </w:r>
      <w:r>
        <w:rPr>
          <w:rFonts w:ascii="Aptos" w:hAnsi="Aptos"/>
          <w:b w:val="0"/>
          <w:i w:val="0"/>
          <w:color w:val="1F1F1F"/>
          <w:sz w:val="22"/>
        </w:rPr>
        <w:t>the simulation layer: it uses agent-based swarm methods to test what could happen under different policy, market, or behavioral scenarios.</w:t>
      </w:r>
    </w:p>
    <w:p>
      <w:pPr>
        <w:spacing w:after="80" w:line="240" w:lineRule="auto"/>
        <w:ind w:left="0"/>
      </w:pPr>
      <w:r>
        <w:rPr>
          <w:rFonts w:ascii="Aptos" w:hAnsi="Aptos"/>
          <w:b/>
          <w:i w:val="0"/>
          <w:color w:val="0F3B66"/>
          <w:sz w:val="22"/>
        </w:rPr>
        <w:t xml:space="preserve">Paperclip </w:t>
      </w:r>
      <w:r>
        <w:rPr>
          <w:rFonts w:ascii="Aptos" w:hAnsi="Aptos"/>
          <w:b w:val="0"/>
          <w:i w:val="0"/>
          <w:color w:val="1F1F1F"/>
          <w:sz w:val="22"/>
        </w:rPr>
        <w:t>the company-orchestration layer: it defines the organizational chart, agent responsibilities, budgets, and work routing.</w:t>
      </w:r>
    </w:p>
    <w:p>
      <w:pPr>
        <w:spacing w:after="80" w:line="240" w:lineRule="auto"/>
        <w:ind w:left="0"/>
      </w:pPr>
      <w:r>
        <w:rPr>
          <w:rFonts w:ascii="Aptos" w:hAnsi="Aptos"/>
          <w:b/>
          <w:i w:val="0"/>
          <w:color w:val="0F3B66"/>
          <w:sz w:val="22"/>
        </w:rPr>
        <w:t xml:space="preserve">AURA </w:t>
      </w:r>
      <w:r>
        <w:rPr>
          <w:rFonts w:ascii="Aptos" w:hAnsi="Aptos"/>
          <w:b w:val="0"/>
          <w:i w:val="0"/>
          <w:color w:val="1F1F1F"/>
          <w:sz w:val="22"/>
        </w:rPr>
        <w:t>the decision layer: it interprets outputs, prioritizes actions, and turns intelligence into investable or operational recommendations.</w:t>
      </w:r>
    </w:p>
    <w:p>
      <w:pPr>
        <w:pStyle w:val="Heading2"/>
        <w:spacing w:before="160" w:after="80" w:line="240" w:lineRule="auto"/>
      </w:pPr>
    </w:p>
    <w:p>
      <w:pPr>
        <w:spacing w:after="120" w:before="0" w:line="240" w:lineRule="auto"/>
      </w:pPr>
      <w:r>
        <w:rPr>
          <w:rFonts w:ascii="Aptos" w:hAnsi="Aptos"/>
          <w:b w:val="0"/>
          <w:i w:val="0"/>
          <w:color w:val="1F1F1F"/>
          <w:sz w:val="22"/>
        </w:rPr>
        <w:t>The strongest strategic message in the files is that competitive advantage comes from fusion, not from isolated signals. Listings alone are insufficient. The platform must blend portals, government records, energy certificates, satellite imagery, economic indicators, social sentiment, tourism trends, and FX data. This is what allows the system to explain why a property is attractive, not just what it is worth.</w:t>
      </w:r>
    </w:p>
    <w:p>
      <w:pPr>
        <w:pStyle w:val="Heading1"/>
        <w:spacing w:before="240" w:after="120" w:line="240" w:lineRule="auto"/>
      </w:pPr>
    </w:p>
    <w:tbl>
      <w:tblPr>
        <w:tblW w:type="auto" w:w="0"/>
        <w:jc w:val="center"/>
        <w:tblLayout w:type="autofit"/>
        <w:tblLook w:firstColumn="1" w:firstRow="1" w:lastColumn="0" w:lastRow="0" w:noHBand="0" w:noVBand="1" w:val="04A0"/>
      </w:tblPr>
      <w:tblGrid>
        <w:gridCol w:w="9936"/>
      </w:tblGrid>
      <w:tr>
        <w:tc>
          <w:tcPr>
            <w:tcW w:type="dxa" w:w="9936"/>
            <w:shd w:fill="F3F7FB"/>
            <w:tcMar>
              <w:top w:w="120" w:type="dxa"/>
              <w:start w:w="140" w:type="dxa"/>
              <w:bottom w:w="120" w:type="dxa"/>
              <w:end w:w="140" w:type="dxa"/>
            </w:tcMar>
          </w:tcPr>
          <w:p>
            <w:pPr>
              <w:spacing w:after="0"/>
            </w:pPr>
            <w:r>
              <w:rPr>
                <w:rFonts w:ascii="Aptos" w:hAnsi="Aptos"/>
                <w:b/>
                <w:i w:val="0"/>
                <w:color w:val="0F3B66"/>
                <w:sz w:val="22"/>
              </w:rPr>
              <w:t>Section Overview</w:t>
              <w:br/>
            </w:r>
            <w:r>
              <w:rPr>
                <w:rFonts w:ascii="Aptos" w:hAnsi="Aptos"/>
                <w:b w:val="0"/>
                <w:i w:val="0"/>
                <w:color w:val="1F1F1F"/>
                <w:sz w:val="21"/>
              </w:rPr>
              <w:t>The Portugal-specific files identify a structured data backbone that should feed the platform continuously. The most important sources are the listing portals, the land registry, tax and property records, energy certificates, national statistics, and tourism and macroeconomic feeds. For valuation and due diligence, the platform should also ingest school-area or neighborhood context, zoning rules, and municipal planning data where available.</w:t>
            </w:r>
          </w:p>
        </w:tc>
      </w:tr>
    </w:tbl>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232"/>
            <w:shd w:fill="0F3B66"/>
            <w:tcMar>
              <w:top w:w="100" w:type="dxa"/>
              <w:start w:w="120" w:type="dxa"/>
              <w:bottom w:w="100" w:type="dxa"/>
              <w:end w:w="120" w:type="dxa"/>
            </w:tcMar>
            <w:vAlign w:val="center"/>
          </w:tcPr>
          <w:p>
            <w:pPr>
              <w:jc w:val="center"/>
            </w:pPr>
            <w:r>
              <w:rPr>
                <w:rFonts w:ascii="Aptos" w:hAnsi="Aptos"/>
                <w:b/>
                <w:i w:val="0"/>
                <w:color w:val="FFFFFF"/>
                <w:sz w:val="19"/>
              </w:rPr>
              <w:t>Source</w:t>
            </w:r>
          </w:p>
        </w:tc>
        <w:tc>
          <w:tcPr>
            <w:tcW w:type="dxa" w:w="2304"/>
            <w:shd w:fill="0F3B66"/>
            <w:tcMar>
              <w:top w:w="100" w:type="dxa"/>
              <w:start w:w="120" w:type="dxa"/>
              <w:bottom w:w="100" w:type="dxa"/>
              <w:end w:w="120" w:type="dxa"/>
            </w:tcMar>
            <w:vAlign w:val="center"/>
          </w:tcPr>
          <w:p>
            <w:pPr>
              <w:jc w:val="center"/>
            </w:pPr>
            <w:r>
              <w:rPr>
                <w:rFonts w:ascii="Aptos" w:hAnsi="Aptos"/>
                <w:b/>
                <w:i w:val="0"/>
                <w:color w:val="FFFFFF"/>
                <w:sz w:val="19"/>
              </w:rPr>
              <w:t>What it provides</w:t>
            </w:r>
          </w:p>
        </w:tc>
        <w:tc>
          <w:tcPr>
            <w:tcW w:type="dxa" w:w="3456"/>
            <w:shd w:fill="0F3B66"/>
            <w:tcMar>
              <w:top w:w="100" w:type="dxa"/>
              <w:start w:w="120" w:type="dxa"/>
              <w:bottom w:w="100" w:type="dxa"/>
              <w:end w:w="120" w:type="dxa"/>
            </w:tcMar>
            <w:vAlign w:val="center"/>
          </w:tcPr>
          <w:p>
            <w:pPr>
              <w:jc w:val="center"/>
            </w:pPr>
            <w:r>
              <w:rPr>
                <w:rFonts w:ascii="Aptos" w:hAnsi="Aptos"/>
                <w:b/>
                <w:i w:val="0"/>
                <w:color w:val="FFFFFF"/>
                <w:sz w:val="19"/>
              </w:rPr>
              <w:t>Why it matters</w:t>
            </w:r>
          </w:p>
        </w:tc>
        <w:tc>
          <w:tcPr>
            <w:tcW w:type="dxa" w:w="1080"/>
            <w:shd w:fill="0F3B66"/>
            <w:tcMar>
              <w:top w:w="100" w:type="dxa"/>
              <w:start w:w="120" w:type="dxa"/>
              <w:bottom w:w="100" w:type="dxa"/>
              <w:end w:w="120" w:type="dxa"/>
            </w:tcMar>
            <w:vAlign w:val="center"/>
          </w:tcPr>
          <w:p>
            <w:pPr>
              <w:jc w:val="center"/>
            </w:pPr>
            <w:r>
              <w:rPr>
                <w:rFonts w:ascii="Aptos" w:hAnsi="Aptos"/>
                <w:b/>
                <w:i w:val="0"/>
                <w:color w:val="FFFFFF"/>
                <w:sz w:val="19"/>
              </w:rPr>
              <w:t>Priority</w:t>
            </w:r>
          </w:p>
        </w:tc>
      </w:tr>
      <w:tr>
        <w:tc>
          <w:tcPr>
            <w:tcW w:type="dxa" w:w="223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Idealista / Imovirtual / Casafari</w:t>
            </w:r>
          </w:p>
        </w:tc>
        <w:tc>
          <w:tcPr>
            <w:tcW w:type="dxa" w:w="230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Listings, price signals, market movement</w:t>
            </w:r>
          </w:p>
        </w:tc>
        <w:tc>
          <w:tcPr>
            <w:tcW w:type="dxa" w:w="3456"/>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Core source for sourcing, comps, and pricing</w:t>
            </w:r>
          </w:p>
        </w:tc>
        <w:tc>
          <w:tcPr>
            <w:tcW w:type="dxa" w:w="108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Highest</w:t>
            </w:r>
          </w:p>
        </w:tc>
      </w:tr>
      <w:tr>
        <w:tc>
          <w:tcPr>
            <w:tcW w:type="dxa" w:w="223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Conservatória / Registo Predial</w:t>
            </w:r>
          </w:p>
        </w:tc>
        <w:tc>
          <w:tcPr>
            <w:tcW w:type="dxa" w:w="230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Ownership and title verification</w:t>
            </w:r>
          </w:p>
        </w:tc>
        <w:tc>
          <w:tcPr>
            <w:tcW w:type="dxa" w:w="3456"/>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Due diligence and fraud prevention</w:t>
            </w:r>
          </w:p>
        </w:tc>
        <w:tc>
          <w:tcPr>
            <w:tcW w:type="dxa" w:w="108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Highest</w:t>
            </w:r>
          </w:p>
        </w:tc>
      </w:tr>
      <w:tr>
        <w:tc>
          <w:tcPr>
            <w:tcW w:type="dxa" w:w="223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INE / Banco de Portugal / ECB</w:t>
            </w:r>
          </w:p>
        </w:tc>
        <w:tc>
          <w:tcPr>
            <w:tcW w:type="dxa" w:w="230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Macro, credit, demographics, rates</w:t>
            </w:r>
          </w:p>
        </w:tc>
        <w:tc>
          <w:tcPr>
            <w:tcW w:type="dxa" w:w="3456"/>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Feature engineering and scenario context</w:t>
            </w:r>
          </w:p>
        </w:tc>
        <w:tc>
          <w:tcPr>
            <w:tcW w:type="dxa" w:w="108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High</w:t>
            </w:r>
          </w:p>
        </w:tc>
      </w:tr>
      <w:tr>
        <w:tc>
          <w:tcPr>
            <w:tcW w:type="dxa" w:w="223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ADENE / SCE</w:t>
            </w:r>
          </w:p>
        </w:tc>
        <w:tc>
          <w:tcPr>
            <w:tcW w:type="dxa" w:w="230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Energy certificates and efficiency</w:t>
            </w:r>
          </w:p>
        </w:tc>
        <w:tc>
          <w:tcPr>
            <w:tcW w:type="dxa" w:w="3456"/>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ESG, valuation, renovation intelligence</w:t>
            </w:r>
          </w:p>
        </w:tc>
        <w:tc>
          <w:tcPr>
            <w:tcW w:type="dxa" w:w="108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High</w:t>
            </w:r>
          </w:p>
        </w:tc>
      </w:tr>
      <w:tr>
        <w:tc>
          <w:tcPr>
            <w:tcW w:type="dxa" w:w="223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Diário da República / municipal notices</w:t>
            </w:r>
          </w:p>
        </w:tc>
        <w:tc>
          <w:tcPr>
            <w:tcW w:type="dxa" w:w="230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Legal and policy updates</w:t>
            </w:r>
          </w:p>
        </w:tc>
        <w:tc>
          <w:tcPr>
            <w:tcW w:type="dxa" w:w="3456"/>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Compliance monitoring and risk alerts</w:t>
            </w:r>
          </w:p>
        </w:tc>
        <w:tc>
          <w:tcPr>
            <w:tcW w:type="dxa" w:w="108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High</w:t>
            </w:r>
          </w:p>
        </w:tc>
      </w:tr>
      <w:tr>
        <w:tc>
          <w:tcPr>
            <w:tcW w:type="dxa" w:w="223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Copernicus / Sentinel / Google Earth Engine</w:t>
            </w:r>
          </w:p>
        </w:tc>
        <w:tc>
          <w:tcPr>
            <w:tcW w:type="dxa" w:w="230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Satellite and environmental data</w:t>
            </w:r>
          </w:p>
        </w:tc>
        <w:tc>
          <w:tcPr>
            <w:tcW w:type="dxa" w:w="3456"/>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External signals and explainability</w:t>
            </w:r>
          </w:p>
        </w:tc>
        <w:tc>
          <w:tcPr>
            <w:tcW w:type="dxa" w:w="108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High</w:t>
            </w:r>
          </w:p>
        </w:tc>
      </w:tr>
      <w:tr>
        <w:tc>
          <w:tcPr>
            <w:tcW w:type="dxa" w:w="223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OSINT (news, social, sentiment)</w:t>
            </w:r>
          </w:p>
        </w:tc>
        <w:tc>
          <w:tcPr>
            <w:tcW w:type="dxa" w:w="230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Behavioral and narrative signals</w:t>
            </w:r>
          </w:p>
        </w:tc>
        <w:tc>
          <w:tcPr>
            <w:tcW w:type="dxa" w:w="3456"/>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Trend detection and early warning</w:t>
            </w:r>
          </w:p>
        </w:tc>
        <w:tc>
          <w:tcPr>
            <w:tcW w:type="dxa" w:w="108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Medium-High</w:t>
            </w:r>
          </w:p>
        </w:tc>
      </w:tr>
    </w:tbl>
    <w:p>
      <w:pPr>
        <w:pStyle w:val="Heading2"/>
        <w:spacing w:before="160" w:after="80" w:line="240" w:lineRule="auto"/>
      </w:pPr>
    </w:p>
    <w:p>
      <w:pPr>
        <w:pStyle w:val="ListBullet"/>
        <w:spacing w:after="40" w:line="240" w:lineRule="auto"/>
        <w:ind w:left="0"/>
      </w:pPr>
      <w:r>
        <w:rPr>
          <w:rFonts w:ascii="Aptos" w:hAnsi="Aptos"/>
          <w:b w:val="0"/>
          <w:i w:val="0"/>
          <w:color w:val="1F1F1F"/>
          <w:sz w:val="21"/>
        </w:rPr>
        <w:t>Tourism intensity and short-term rental regulation, especially for Lisbon and the Algarve.</w:t>
      </w:r>
    </w:p>
    <w:p>
      <w:pPr>
        <w:pStyle w:val="ListBullet"/>
        <w:spacing w:after="40" w:line="240" w:lineRule="auto"/>
        <w:ind w:left="0"/>
      </w:pPr>
      <w:r>
        <w:rPr>
          <w:rFonts w:ascii="Aptos" w:hAnsi="Aptos"/>
          <w:b w:val="0"/>
          <w:i w:val="0"/>
          <w:color w:val="1F1F1F"/>
          <w:sz w:val="21"/>
        </w:rPr>
        <w:t>Interest rates, inflation, and mortgage conditions, especially ECB policy movement.</w:t>
      </w:r>
    </w:p>
    <w:p>
      <w:pPr>
        <w:pStyle w:val="ListBullet"/>
        <w:spacing w:after="40" w:line="240" w:lineRule="auto"/>
        <w:ind w:left="0"/>
      </w:pPr>
      <w:r>
        <w:rPr>
          <w:rFonts w:ascii="Aptos" w:hAnsi="Aptos"/>
          <w:b w:val="0"/>
          <w:i w:val="0"/>
          <w:color w:val="1F1F1F"/>
          <w:sz w:val="21"/>
        </w:rPr>
        <w:t>FX conversion windows for foreign buyers using EUR/USD, EUR/GBP, or EUR/BRL exposure.</w:t>
      </w:r>
    </w:p>
    <w:p>
      <w:pPr>
        <w:pStyle w:val="ListBullet"/>
        <w:spacing w:after="40" w:line="240" w:lineRule="auto"/>
        <w:ind w:left="0"/>
      </w:pPr>
      <w:r>
        <w:rPr>
          <w:rFonts w:ascii="Aptos" w:hAnsi="Aptos"/>
          <w:b w:val="0"/>
          <w:i w:val="0"/>
          <w:color w:val="1F1F1F"/>
          <w:sz w:val="21"/>
        </w:rPr>
        <w:t>Energy-efficiency and retrofit pressure from the SCE, CSRD, and EPBD environment.</w:t>
      </w:r>
    </w:p>
    <w:p>
      <w:pPr>
        <w:pStyle w:val="ListBullet"/>
        <w:spacing w:after="40" w:line="240" w:lineRule="auto"/>
        <w:ind w:left="0"/>
      </w:pPr>
      <w:r>
        <w:rPr>
          <w:rFonts w:ascii="Aptos" w:hAnsi="Aptos"/>
          <w:b w:val="0"/>
          <w:i w:val="0"/>
          <w:color w:val="1F1F1F"/>
          <w:sz w:val="21"/>
        </w:rPr>
        <w:t>Neighborhood narrative shifts from infrastructure, remote-work changes, and buyer migration.</w:t>
      </w:r>
    </w:p>
    <w:p>
      <w:pPr>
        <w:pStyle w:val="ListBullet"/>
        <w:spacing w:after="40" w:line="240" w:lineRule="auto"/>
        <w:ind w:left="0"/>
      </w:pPr>
      <w:r>
        <w:rPr>
          <w:rFonts w:ascii="Aptos" w:hAnsi="Aptos"/>
          <w:b w:val="0"/>
          <w:i w:val="0"/>
          <w:color w:val="1F1F1F"/>
          <w:sz w:val="21"/>
        </w:rPr>
        <w:t>Local licensing dynamics, especially Alojamento Local restrictions and municipality-level enforcement.</w:t>
      </w:r>
    </w:p>
    <w:p>
      <w:pPr>
        <w:pStyle w:val="Heading2"/>
        <w:spacing w:before="160" w:after="80" w:line="240" w:lineRule="auto"/>
      </w:pPr>
    </w:p>
    <w:p>
      <w:pPr>
        <w:pStyle w:val="ListBullet"/>
        <w:spacing w:after="40" w:line="240" w:lineRule="auto"/>
        <w:ind w:left="0"/>
      </w:pPr>
      <w:r>
        <w:rPr>
          <w:rFonts w:ascii="Aptos" w:hAnsi="Aptos"/>
          <w:b w:val="0"/>
          <w:i w:val="0"/>
          <w:color w:val="1F1F1F"/>
          <w:sz w:val="21"/>
        </w:rPr>
        <w:t>Never rely on a single listing portal as the source of truth.</w:t>
      </w:r>
    </w:p>
    <w:p>
      <w:pPr>
        <w:pStyle w:val="ListBullet"/>
        <w:spacing w:after="40" w:line="240" w:lineRule="auto"/>
        <w:ind w:left="0"/>
      </w:pPr>
      <w:r>
        <w:rPr>
          <w:rFonts w:ascii="Aptos" w:hAnsi="Aptos"/>
          <w:b w:val="0"/>
          <w:i w:val="0"/>
          <w:color w:val="1F1F1F"/>
          <w:sz w:val="21"/>
        </w:rPr>
        <w:t>Flag any inferred value with a confidence or reliability label.</w:t>
      </w:r>
    </w:p>
    <w:p>
      <w:pPr>
        <w:pStyle w:val="ListBullet"/>
        <w:spacing w:after="40" w:line="240" w:lineRule="auto"/>
        <w:ind w:left="0"/>
      </w:pPr>
      <w:r>
        <w:rPr>
          <w:rFonts w:ascii="Aptos" w:hAnsi="Aptos"/>
          <w:b w:val="0"/>
          <w:i w:val="0"/>
          <w:color w:val="1F1F1F"/>
          <w:sz w:val="21"/>
        </w:rPr>
        <w:t>Keep the chain from raw data to recommendation auditable.</w:t>
      </w:r>
    </w:p>
    <w:p>
      <w:pPr>
        <w:pStyle w:val="ListBullet"/>
        <w:spacing w:after="40" w:line="240" w:lineRule="auto"/>
        <w:ind w:left="0"/>
      </w:pPr>
      <w:r>
        <w:rPr>
          <w:rFonts w:ascii="Aptos" w:hAnsi="Aptos"/>
          <w:b w:val="0"/>
          <w:i w:val="0"/>
          <w:color w:val="1F1F1F"/>
          <w:sz w:val="21"/>
        </w:rPr>
        <w:t>Separate raw facts, model outputs, and advisory recommendations.</w:t>
      </w:r>
    </w:p>
    <w:p>
      <w:pPr>
        <w:pStyle w:val="Heading1"/>
        <w:spacing w:before="240" w:after="120" w:line="240" w:lineRule="auto"/>
      </w:pPr>
    </w:p>
    <w:tbl>
      <w:tblPr>
        <w:tblW w:type="auto" w:w="0"/>
        <w:jc w:val="center"/>
        <w:tblLayout w:type="autofit"/>
        <w:tblLook w:firstColumn="1" w:firstRow="1" w:lastColumn="0" w:lastRow="0" w:noHBand="0" w:noVBand="1" w:val="04A0"/>
      </w:tblPr>
      <w:tblGrid>
        <w:gridCol w:w="9936"/>
      </w:tblGrid>
      <w:tr>
        <w:tc>
          <w:tcPr>
            <w:tcW w:type="dxa" w:w="9936"/>
            <w:shd w:fill="F3F7FB"/>
            <w:tcMar>
              <w:top w:w="120" w:type="dxa"/>
              <w:start w:w="140" w:type="dxa"/>
              <w:bottom w:w="120" w:type="dxa"/>
              <w:end w:w="140" w:type="dxa"/>
            </w:tcMar>
          </w:tcPr>
          <w:p>
            <w:pPr>
              <w:spacing w:after="0"/>
            </w:pPr>
            <w:r>
              <w:rPr>
                <w:rFonts w:ascii="Aptos" w:hAnsi="Aptos"/>
                <w:b/>
                <w:i w:val="0"/>
                <w:color w:val="0F3B66"/>
                <w:sz w:val="22"/>
              </w:rPr>
              <w:t>Section Overview</w:t>
              <w:br/>
            </w:r>
            <w:r>
              <w:rPr>
                <w:rFonts w:ascii="Aptos" w:hAnsi="Aptos"/>
                <w:b w:val="0"/>
                <w:i w:val="0"/>
                <w:color w:val="1F1F1F"/>
                <w:sz w:val="21"/>
              </w:rPr>
              <w:t>The files converge on a ranked product portfolio. Conversational AI is the fastest path to revenue and the clearest fit with current market behavior. Generative marketing is the easiest high-ROI expansion. ESG intelligence is the strongest regulatory-demand module. Valuation, due diligence, and cross-border support form the deeper intelligence core, while blockchain remains a strategic but later-stage direction.</w:t>
            </w:r>
          </w:p>
        </w:tc>
      </w:tr>
    </w:tbl>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232"/>
            <w:shd w:fill="0F3B66"/>
            <w:tcMar>
              <w:top w:w="100" w:type="dxa"/>
              <w:start w:w="120" w:type="dxa"/>
              <w:bottom w:w="100" w:type="dxa"/>
              <w:end w:w="120" w:type="dxa"/>
            </w:tcMar>
            <w:vAlign w:val="center"/>
          </w:tcPr>
          <w:p>
            <w:pPr>
              <w:jc w:val="center"/>
            </w:pPr>
            <w:r>
              <w:rPr>
                <w:rFonts w:ascii="Aptos" w:hAnsi="Aptos"/>
                <w:b/>
                <w:i w:val="0"/>
                <w:color w:val="FFFFFF"/>
                <w:sz w:val="19"/>
              </w:rPr>
              <w:t>Opportunity</w:t>
            </w:r>
          </w:p>
        </w:tc>
        <w:tc>
          <w:tcPr>
            <w:tcW w:type="dxa" w:w="3672"/>
            <w:shd w:fill="0F3B66"/>
            <w:tcMar>
              <w:top w:w="100" w:type="dxa"/>
              <w:start w:w="120" w:type="dxa"/>
              <w:bottom w:w="100" w:type="dxa"/>
              <w:end w:w="120" w:type="dxa"/>
            </w:tcMar>
            <w:vAlign w:val="center"/>
          </w:tcPr>
          <w:p>
            <w:pPr>
              <w:jc w:val="center"/>
            </w:pPr>
            <w:r>
              <w:rPr>
                <w:rFonts w:ascii="Aptos" w:hAnsi="Aptos"/>
                <w:b/>
                <w:i w:val="0"/>
                <w:color w:val="FFFFFF"/>
                <w:sz w:val="19"/>
              </w:rPr>
              <w:t>Why it matters</w:t>
            </w:r>
          </w:p>
        </w:tc>
        <w:tc>
          <w:tcPr>
            <w:tcW w:type="dxa" w:w="1368"/>
            <w:shd w:fill="0F3B66"/>
            <w:tcMar>
              <w:top w:w="100" w:type="dxa"/>
              <w:start w:w="120" w:type="dxa"/>
              <w:bottom w:w="100" w:type="dxa"/>
              <w:end w:w="120" w:type="dxa"/>
            </w:tcMar>
            <w:vAlign w:val="center"/>
          </w:tcPr>
          <w:p>
            <w:pPr>
              <w:jc w:val="center"/>
            </w:pPr>
            <w:r>
              <w:rPr>
                <w:rFonts w:ascii="Aptos" w:hAnsi="Aptos"/>
                <w:b/>
                <w:i w:val="0"/>
                <w:color w:val="FFFFFF"/>
                <w:sz w:val="19"/>
              </w:rPr>
              <w:t>Feasibility now</w:t>
            </w:r>
          </w:p>
        </w:tc>
        <w:tc>
          <w:tcPr>
            <w:tcW w:type="dxa" w:w="792"/>
            <w:shd w:fill="0F3B66"/>
            <w:tcMar>
              <w:top w:w="100" w:type="dxa"/>
              <w:start w:w="120" w:type="dxa"/>
              <w:bottom w:w="100" w:type="dxa"/>
              <w:end w:w="120" w:type="dxa"/>
            </w:tcMar>
            <w:vAlign w:val="center"/>
          </w:tcPr>
          <w:p>
            <w:pPr>
              <w:jc w:val="center"/>
            </w:pPr>
            <w:r>
              <w:rPr>
                <w:rFonts w:ascii="Aptos" w:hAnsi="Aptos"/>
                <w:b/>
                <w:i w:val="0"/>
                <w:color w:val="FFFFFF"/>
                <w:sz w:val="19"/>
              </w:rPr>
              <w:t>Priority</w:t>
            </w:r>
          </w:p>
        </w:tc>
      </w:tr>
      <w:tr>
        <w:tc>
          <w:tcPr>
            <w:tcW w:type="dxa" w:w="223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Conversational AI</w:t>
            </w:r>
          </w:p>
        </w:tc>
        <w:tc>
          <w:tcPr>
            <w:tcW w:type="dxa" w:w="3672"/>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Fastest revenue, immediate adoption, WhatsApp-native</w:t>
            </w:r>
          </w:p>
        </w:tc>
        <w:tc>
          <w:tcPr>
            <w:tcW w:type="dxa" w:w="136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Very high</w:t>
            </w:r>
          </w:p>
        </w:tc>
        <w:tc>
          <w:tcPr>
            <w:tcW w:type="dxa" w:w="792"/>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1</w:t>
            </w:r>
          </w:p>
        </w:tc>
      </w:tr>
      <w:tr>
        <w:tc>
          <w:tcPr>
            <w:tcW w:type="dxa" w:w="223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Generative marketing</w:t>
            </w:r>
          </w:p>
        </w:tc>
        <w:tc>
          <w:tcPr>
            <w:tcW w:type="dxa" w:w="3672"/>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Low-cost content and staging, strong conversion lift</w:t>
            </w:r>
          </w:p>
        </w:tc>
        <w:tc>
          <w:tcPr>
            <w:tcW w:type="dxa" w:w="136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Very high</w:t>
            </w:r>
          </w:p>
        </w:tc>
        <w:tc>
          <w:tcPr>
            <w:tcW w:type="dxa" w:w="792"/>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2</w:t>
            </w:r>
          </w:p>
        </w:tc>
      </w:tr>
      <w:tr>
        <w:tc>
          <w:tcPr>
            <w:tcW w:type="dxa" w:w="223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ESG / energy intelligence</w:t>
            </w:r>
          </w:p>
        </w:tc>
        <w:tc>
          <w:tcPr>
            <w:tcW w:type="dxa" w:w="3672"/>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Regulatory demand, old building stock, renovation ROI</w:t>
            </w:r>
          </w:p>
        </w:tc>
        <w:tc>
          <w:tcPr>
            <w:tcW w:type="dxa" w:w="136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High</w:t>
            </w:r>
          </w:p>
        </w:tc>
        <w:tc>
          <w:tcPr>
            <w:tcW w:type="dxa" w:w="792"/>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3</w:t>
            </w:r>
          </w:p>
        </w:tc>
      </w:tr>
      <w:tr>
        <w:tc>
          <w:tcPr>
            <w:tcW w:type="dxa" w:w="223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Predictive valuation / AVM</w:t>
            </w:r>
          </w:p>
        </w:tc>
        <w:tc>
          <w:tcPr>
            <w:tcW w:type="dxa" w:w="3672"/>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Core long-term moat, but data and regulation are harder</w:t>
            </w:r>
          </w:p>
        </w:tc>
        <w:tc>
          <w:tcPr>
            <w:tcW w:type="dxa" w:w="136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Medium</w:t>
            </w:r>
          </w:p>
        </w:tc>
        <w:tc>
          <w:tcPr>
            <w:tcW w:type="dxa" w:w="792"/>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4</w:t>
            </w:r>
          </w:p>
        </w:tc>
      </w:tr>
      <w:tr>
        <w:tc>
          <w:tcPr>
            <w:tcW w:type="dxa" w:w="223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Cross-border transaction support</w:t>
            </w:r>
          </w:p>
        </w:tc>
        <w:tc>
          <w:tcPr>
            <w:tcW w:type="dxa" w:w="3672"/>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Large foreign-buyer gap, high complexity</w:t>
            </w:r>
          </w:p>
        </w:tc>
        <w:tc>
          <w:tcPr>
            <w:tcW w:type="dxa" w:w="136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Medium</w:t>
            </w:r>
          </w:p>
        </w:tc>
        <w:tc>
          <w:tcPr>
            <w:tcW w:type="dxa" w:w="792"/>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5</w:t>
            </w:r>
          </w:p>
        </w:tc>
      </w:tr>
      <w:tr>
        <w:tc>
          <w:tcPr>
            <w:tcW w:type="dxa" w:w="223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Property management AI</w:t>
            </w:r>
          </w:p>
        </w:tc>
        <w:tc>
          <w:tcPr>
            <w:tcW w:type="dxa" w:w="3672"/>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Lifecycle value and operational automation</w:t>
            </w:r>
          </w:p>
        </w:tc>
        <w:tc>
          <w:tcPr>
            <w:tcW w:type="dxa" w:w="136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High</w:t>
            </w:r>
          </w:p>
        </w:tc>
        <w:tc>
          <w:tcPr>
            <w:tcW w:type="dxa" w:w="792"/>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6</w:t>
            </w:r>
          </w:p>
        </w:tc>
      </w:tr>
      <w:tr>
        <w:tc>
          <w:tcPr>
            <w:tcW w:type="dxa" w:w="223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Due diligence swarm</w:t>
            </w:r>
          </w:p>
        </w:tc>
        <w:tc>
          <w:tcPr>
            <w:tcW w:type="dxa" w:w="3672"/>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High-value, but needs careful legal oversight</w:t>
            </w:r>
          </w:p>
        </w:tc>
        <w:tc>
          <w:tcPr>
            <w:tcW w:type="dxa" w:w="136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Medium</w:t>
            </w:r>
          </w:p>
        </w:tc>
        <w:tc>
          <w:tcPr>
            <w:tcW w:type="dxa" w:w="792"/>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7</w:t>
            </w:r>
          </w:p>
        </w:tc>
      </w:tr>
      <w:tr>
        <w:tc>
          <w:tcPr>
            <w:tcW w:type="dxa" w:w="223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Blockchain / tokenization</w:t>
            </w:r>
          </w:p>
        </w:tc>
        <w:tc>
          <w:tcPr>
            <w:tcW w:type="dxa" w:w="3672"/>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Strategic but too early for core MVP</w:t>
            </w:r>
          </w:p>
        </w:tc>
        <w:tc>
          <w:tcPr>
            <w:tcW w:type="dxa" w:w="136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Low-Medium</w:t>
            </w:r>
          </w:p>
        </w:tc>
        <w:tc>
          <w:tcPr>
            <w:tcW w:type="dxa" w:w="792"/>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8</w:t>
            </w:r>
          </w:p>
        </w:tc>
      </w:tr>
    </w:tbl>
    <w:p>
      <w:pPr>
        <w:pStyle w:val="Heading2"/>
        <w:spacing w:before="160" w:after="80" w:line="240" w:lineRule="auto"/>
      </w:pPr>
    </w:p>
    <w:p>
      <w:pPr>
        <w:spacing w:after="120" w:before="0" w:line="240" w:lineRule="auto"/>
      </w:pPr>
      <w:r>
        <w:rPr>
          <w:rFonts w:ascii="Aptos" w:hAnsi="Aptos"/>
          <w:b w:val="0"/>
          <w:i w:val="0"/>
          <w:color w:val="1F1F1F"/>
          <w:sz w:val="22"/>
        </w:rPr>
        <w:t>Conversational AI is the best entry because it is visible, measurable, and immediately useful. It captures leads before competitors do, responds in Portuguese and English, schedules showings, explains taxes and documentation, and keeps the funnel alive after business hours. The first product should therefore be a bilingual AI lead assistant that can qualify inquiries, match properties, provide neighborhood context, and hand off to a human agent when the conversation becomes high-value or high-risk. It should support voice or text, but text-first WhatsApp deployment is the safest and fastest path.</w:t>
      </w:r>
    </w:p>
    <w:p>
      <w:pPr>
        <w:pStyle w:val="Heading2"/>
        <w:spacing w:before="160" w:after="80" w:line="240" w:lineRule="auto"/>
      </w:pPr>
    </w:p>
    <w:p>
      <w:pPr>
        <w:spacing w:after="120" w:before="0" w:line="240" w:lineRule="auto"/>
      </w:pPr>
      <w:r>
        <w:rPr>
          <w:rFonts w:ascii="Aptos" w:hAnsi="Aptos"/>
          <w:b w:val="0"/>
          <w:i w:val="0"/>
          <w:color w:val="1F1F1F"/>
          <w:sz w:val="22"/>
        </w:rPr>
        <w:t>The next layer is generative marketing. This covers listing descriptions, social posts, virtual staging, and campaign personalization. The files show that this is not just a nice-to-have content feature. It is one of the clearest cost-saving and conversion-enhancing levers because it replaces expensive staging and copywriting while making small agencies look enterprise-grade.</w:t>
      </w:r>
    </w:p>
    <w:p>
      <w:pPr>
        <w:pStyle w:val="Heading2"/>
        <w:spacing w:before="160" w:after="80" w:line="240" w:lineRule="auto"/>
      </w:pPr>
    </w:p>
    <w:p>
      <w:pPr>
        <w:spacing w:after="120" w:before="0" w:line="240" w:lineRule="auto"/>
      </w:pPr>
      <w:r>
        <w:rPr>
          <w:rFonts w:ascii="Aptos" w:hAnsi="Aptos"/>
          <w:b w:val="0"/>
          <w:i w:val="0"/>
          <w:color w:val="1F1F1F"/>
          <w:sz w:val="22"/>
        </w:rPr>
        <w:t>ESG intelligence is one of the strongest medium-term bets because regulation is pushing the market toward it. Portugal’s aging building stock creates a large renovation and compliance opportunity, while energy certificates and sustainability reporting are becoming more material to buyers, tenants, and investors. The platform should be able to flag renovation opportunities, estimate ROI on energy upgrades, and explain how energy performance affects valuation and rentability.</w:t>
      </w:r>
    </w:p>
    <w:p>
      <w:pPr>
        <w:pStyle w:val="Heading2"/>
        <w:spacing w:before="160" w:after="80" w:line="240" w:lineRule="auto"/>
      </w:pPr>
    </w:p>
    <w:p>
      <w:pPr>
        <w:spacing w:after="120" w:before="0" w:line="240" w:lineRule="auto"/>
      </w:pPr>
      <w:r>
        <w:rPr>
          <w:rFonts w:ascii="Aptos" w:hAnsi="Aptos"/>
          <w:b w:val="0"/>
          <w:i w:val="0"/>
          <w:color w:val="1F1F1F"/>
          <w:sz w:val="22"/>
        </w:rPr>
        <w:t>These modules form the intelligence core beneath the front-facing assistant. Predictive valuation must combine portal data, comparables, and external factors. Due diligence must inspect title, zoning, licensing, and regulatory constraints. Cross-border support must handle IMT, NIF, tax residency, energy certificate interpretation, and the practical steps foreign buyers need to move from interest to execution.</w:t>
      </w:r>
    </w:p>
    <w:p>
      <w:pPr>
        <w:pStyle w:val="Heading1"/>
        <w:spacing w:before="240" w:after="120" w:line="240" w:lineRule="auto"/>
      </w:pPr>
    </w:p>
    <w:tbl>
      <w:tblPr>
        <w:tblW w:type="auto" w:w="0"/>
        <w:jc w:val="center"/>
        <w:tblLayout w:type="autofit"/>
        <w:tblLook w:firstColumn="1" w:firstRow="1" w:lastColumn="0" w:lastRow="0" w:noHBand="0" w:noVBand="1" w:val="04A0"/>
      </w:tblPr>
      <w:tblGrid>
        <w:gridCol w:w="9936"/>
      </w:tblGrid>
      <w:tr>
        <w:tc>
          <w:tcPr>
            <w:tcW w:type="dxa" w:w="9936"/>
            <w:shd w:fill="F3F7FB"/>
            <w:tcMar>
              <w:top w:w="120" w:type="dxa"/>
              <w:start w:w="140" w:type="dxa"/>
              <w:bottom w:w="120" w:type="dxa"/>
              <w:end w:w="140" w:type="dxa"/>
            </w:tcMar>
          </w:tcPr>
          <w:p>
            <w:pPr>
              <w:spacing w:after="0"/>
            </w:pPr>
            <w:r>
              <w:rPr>
                <w:rFonts w:ascii="Aptos" w:hAnsi="Aptos"/>
                <w:b/>
                <w:i w:val="0"/>
                <w:color w:val="0F3B66"/>
                <w:sz w:val="22"/>
              </w:rPr>
              <w:t>Section Overview</w:t>
              <w:br/>
            </w:r>
            <w:r>
              <w:rPr>
                <w:rFonts w:ascii="Aptos" w:hAnsi="Aptos"/>
                <w:b w:val="0"/>
                <w:i w:val="0"/>
                <w:color w:val="1F1F1F"/>
                <w:sz w:val="21"/>
              </w:rPr>
              <w:t>The platform should behave like a real company. Different agent roles take on research, compliance, underwriting, simulation, inspection, and foreign-exchange monitoring. The human user should remain in the approval loop, but the system should handle the repetitive, data-intensive, and time-sensitive work.</w:t>
            </w:r>
          </w:p>
        </w:tc>
      </w:tr>
    </w:tbl>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44"/>
            <w:shd w:fill="0F3B66"/>
            <w:tcMar>
              <w:top w:w="100" w:type="dxa"/>
              <w:start w:w="120" w:type="dxa"/>
              <w:bottom w:w="100" w:type="dxa"/>
              <w:end w:w="120" w:type="dxa"/>
            </w:tcMar>
            <w:vAlign w:val="center"/>
          </w:tcPr>
          <w:p>
            <w:pPr>
              <w:jc w:val="center"/>
            </w:pPr>
            <w:r>
              <w:rPr>
                <w:rFonts w:ascii="Aptos" w:hAnsi="Aptos"/>
                <w:b/>
                <w:i w:val="0"/>
                <w:color w:val="FFFFFF"/>
                <w:sz w:val="19"/>
              </w:rPr>
              <w:t>Role</w:t>
            </w:r>
          </w:p>
        </w:tc>
        <w:tc>
          <w:tcPr>
            <w:tcW w:type="dxa" w:w="4536"/>
            <w:shd w:fill="0F3B66"/>
            <w:tcMar>
              <w:top w:w="100" w:type="dxa"/>
              <w:start w:w="120" w:type="dxa"/>
              <w:bottom w:w="100" w:type="dxa"/>
              <w:end w:w="120" w:type="dxa"/>
            </w:tcMar>
            <w:vAlign w:val="center"/>
          </w:tcPr>
          <w:p>
            <w:pPr>
              <w:jc w:val="center"/>
            </w:pPr>
            <w:r>
              <w:rPr>
                <w:rFonts w:ascii="Aptos" w:hAnsi="Aptos"/>
                <w:b/>
                <w:i w:val="0"/>
                <w:color w:val="FFFFFF"/>
                <w:sz w:val="19"/>
              </w:rPr>
              <w:t>Responsibilities</w:t>
            </w:r>
          </w:p>
        </w:tc>
        <w:tc>
          <w:tcPr>
            <w:tcW w:type="dxa" w:w="2664"/>
            <w:shd w:fill="0F3B66"/>
            <w:tcMar>
              <w:top w:w="100" w:type="dxa"/>
              <w:start w:w="120" w:type="dxa"/>
              <w:bottom w:w="100" w:type="dxa"/>
              <w:end w:w="120" w:type="dxa"/>
            </w:tcMar>
            <w:vAlign w:val="center"/>
          </w:tcPr>
          <w:p>
            <w:pPr>
              <w:jc w:val="center"/>
            </w:pPr>
            <w:r>
              <w:rPr>
                <w:rFonts w:ascii="Aptos" w:hAnsi="Aptos"/>
                <w:b/>
                <w:i w:val="0"/>
                <w:color w:val="FFFFFF"/>
                <w:sz w:val="19"/>
              </w:rPr>
              <w:t>Primary Tools</w:t>
            </w:r>
          </w:p>
        </w:tc>
      </w:tr>
      <w:tr>
        <w:tc>
          <w:tcPr>
            <w:tcW w:type="dxa" w:w="1944"/>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CEO / Decision Agent</w:t>
            </w:r>
          </w:p>
        </w:tc>
        <w:tc>
          <w:tcPr>
            <w:tcW w:type="dxa" w:w="4536"/>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Prioritizes strategy, signs off on ranked opportunities, compiles final briefs</w:t>
            </w:r>
          </w:p>
        </w:tc>
        <w:tc>
          <w:tcPr>
            <w:tcW w:type="dxa" w:w="266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Paperclip + OpenClaw</w:t>
            </w:r>
          </w:p>
        </w:tc>
      </w:tr>
      <w:tr>
        <w:tc>
          <w:tcPr>
            <w:tcW w:type="dxa" w:w="1944"/>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Research Agent</w:t>
            </w:r>
          </w:p>
        </w:tc>
        <w:tc>
          <w:tcPr>
            <w:tcW w:type="dxa" w:w="4536"/>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Monitors listings, market trends, macro data, and investor signals</w:t>
            </w:r>
          </w:p>
        </w:tc>
        <w:tc>
          <w:tcPr>
            <w:tcW w:type="dxa" w:w="266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OpenClaw + scraping + OSINT</w:t>
            </w:r>
          </w:p>
        </w:tc>
      </w:tr>
      <w:tr>
        <w:tc>
          <w:tcPr>
            <w:tcW w:type="dxa" w:w="1944"/>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Compliance Agent</w:t>
            </w:r>
          </w:p>
        </w:tc>
        <w:tc>
          <w:tcPr>
            <w:tcW w:type="dxa" w:w="4536"/>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Checks AL, title, zoning, legal updates, and AI governance</w:t>
            </w:r>
          </w:p>
        </w:tc>
        <w:tc>
          <w:tcPr>
            <w:tcW w:type="dxa" w:w="266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OpenClaw + government portals</w:t>
            </w:r>
          </w:p>
        </w:tc>
      </w:tr>
      <w:tr>
        <w:tc>
          <w:tcPr>
            <w:tcW w:type="dxa" w:w="1944"/>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Underwriter Agent</w:t>
            </w:r>
          </w:p>
        </w:tc>
        <w:tc>
          <w:tcPr>
            <w:tcW w:type="dxa" w:w="4536"/>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Builds DCFs, yields, cap rates, cash flow, and acquisition cost models</w:t>
            </w:r>
          </w:p>
        </w:tc>
        <w:tc>
          <w:tcPr>
            <w:tcW w:type="dxa" w:w="266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OpenClaw + ML models</w:t>
            </w:r>
          </w:p>
        </w:tc>
      </w:tr>
      <w:tr>
        <w:tc>
          <w:tcPr>
            <w:tcW w:type="dxa" w:w="1944"/>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Simulator Agent</w:t>
            </w:r>
          </w:p>
        </w:tc>
        <w:tc>
          <w:tcPr>
            <w:tcW w:type="dxa" w:w="4536"/>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Runs market scenarios and stress tests across time horizons</w:t>
            </w:r>
          </w:p>
        </w:tc>
        <w:tc>
          <w:tcPr>
            <w:tcW w:type="dxa" w:w="266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MiroFish</w:t>
            </w:r>
          </w:p>
        </w:tc>
      </w:tr>
      <w:tr>
        <w:tc>
          <w:tcPr>
            <w:tcW w:type="dxa" w:w="1944"/>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Inspector Agent</w:t>
            </w:r>
          </w:p>
        </w:tc>
        <w:tc>
          <w:tcPr>
            <w:tcW w:type="dxa" w:w="4536"/>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Reviews images, tours, and physical-property evidence remotely</w:t>
            </w:r>
          </w:p>
        </w:tc>
        <w:tc>
          <w:tcPr>
            <w:tcW w:type="dxa" w:w="266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OpenClaw + vision tools</w:t>
            </w:r>
          </w:p>
        </w:tc>
      </w:tr>
      <w:tr>
        <w:tc>
          <w:tcPr>
            <w:tcW w:type="dxa" w:w="1944"/>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FX Agent</w:t>
            </w:r>
          </w:p>
        </w:tc>
        <w:tc>
          <w:tcPr>
            <w:tcW w:type="dxa" w:w="4536"/>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Monitors currency windows and foreign capital exposure</w:t>
            </w:r>
          </w:p>
        </w:tc>
        <w:tc>
          <w:tcPr>
            <w:tcW w:type="dxa" w:w="266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OpenClaw + ECB feeds</w:t>
            </w:r>
          </w:p>
        </w:tc>
      </w:tr>
    </w:tbl>
    <w:p>
      <w:pPr>
        <w:pStyle w:val="Heading2"/>
        <w:spacing w:before="160" w:after="80" w:line="240" w:lineRule="auto"/>
      </w:pP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080"/>
            <w:shd w:fill="0F3B66"/>
            <w:tcMar>
              <w:top w:w="100" w:type="dxa"/>
              <w:start w:w="120" w:type="dxa"/>
              <w:bottom w:w="100" w:type="dxa"/>
              <w:end w:w="120" w:type="dxa"/>
            </w:tcMar>
            <w:vAlign w:val="center"/>
          </w:tcPr>
          <w:p>
            <w:pPr>
              <w:jc w:val="center"/>
            </w:pPr>
            <w:r>
              <w:rPr>
                <w:rFonts w:ascii="Aptos" w:hAnsi="Aptos"/>
                <w:b/>
                <w:i w:val="0"/>
                <w:color w:val="FFFFFF"/>
                <w:sz w:val="19"/>
              </w:rPr>
              <w:t>Time</w:t>
            </w:r>
          </w:p>
        </w:tc>
        <w:tc>
          <w:tcPr>
            <w:tcW w:type="dxa" w:w="5688"/>
            <w:shd w:fill="0F3B66"/>
            <w:tcMar>
              <w:top w:w="100" w:type="dxa"/>
              <w:start w:w="120" w:type="dxa"/>
              <w:bottom w:w="100" w:type="dxa"/>
              <w:end w:w="120" w:type="dxa"/>
            </w:tcMar>
            <w:vAlign w:val="center"/>
          </w:tcPr>
          <w:p>
            <w:pPr>
              <w:jc w:val="center"/>
            </w:pPr>
            <w:r>
              <w:rPr>
                <w:rFonts w:ascii="Aptos" w:hAnsi="Aptos"/>
                <w:b/>
                <w:i w:val="0"/>
                <w:color w:val="FFFFFF"/>
                <w:sz w:val="19"/>
              </w:rPr>
              <w:t>Agent task</w:t>
            </w:r>
          </w:p>
        </w:tc>
        <w:tc>
          <w:tcPr>
            <w:tcW w:type="dxa" w:w="2016"/>
            <w:shd w:fill="0F3B66"/>
            <w:tcMar>
              <w:top w:w="100" w:type="dxa"/>
              <w:start w:w="120" w:type="dxa"/>
              <w:bottom w:w="100" w:type="dxa"/>
              <w:end w:w="120" w:type="dxa"/>
            </w:tcMar>
            <w:vAlign w:val="center"/>
          </w:tcPr>
          <w:p>
            <w:pPr>
              <w:jc w:val="center"/>
            </w:pPr>
            <w:r>
              <w:rPr>
                <w:rFonts w:ascii="Aptos" w:hAnsi="Aptos"/>
                <w:b/>
                <w:i w:val="0"/>
                <w:color w:val="FFFFFF"/>
                <w:sz w:val="19"/>
              </w:rPr>
              <w:t>Output</w:t>
            </w:r>
          </w:p>
        </w:tc>
      </w:tr>
      <w:tr>
        <w:tc>
          <w:tcPr>
            <w:tcW w:type="dxa" w:w="1080"/>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06:00</w:t>
            </w:r>
          </w:p>
        </w:tc>
        <w:tc>
          <w:tcPr>
            <w:tcW w:type="dxa" w:w="568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Scan listings and portal changes</w:t>
            </w:r>
          </w:p>
        </w:tc>
        <w:tc>
          <w:tcPr>
            <w:tcW w:type="dxa" w:w="2016"/>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Fresh lead set</w:t>
            </w:r>
          </w:p>
        </w:tc>
      </w:tr>
      <w:tr>
        <w:tc>
          <w:tcPr>
            <w:tcW w:type="dxa" w:w="1080"/>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07:00</w:t>
            </w:r>
          </w:p>
        </w:tc>
        <w:tc>
          <w:tcPr>
            <w:tcW w:type="dxa" w:w="568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Rank opportunities by yield and fit</w:t>
            </w:r>
          </w:p>
        </w:tc>
        <w:tc>
          <w:tcPr>
            <w:tcW w:type="dxa" w:w="2016"/>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Top candidates</w:t>
            </w:r>
          </w:p>
        </w:tc>
      </w:tr>
      <w:tr>
        <w:tc>
          <w:tcPr>
            <w:tcW w:type="dxa" w:w="1080"/>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08:00</w:t>
            </w:r>
          </w:p>
        </w:tc>
        <w:tc>
          <w:tcPr>
            <w:tcW w:type="dxa" w:w="568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Send FX and macro briefing</w:t>
            </w:r>
          </w:p>
        </w:tc>
        <w:tc>
          <w:tcPr>
            <w:tcW w:type="dxa" w:w="2016"/>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Currency risk alert</w:t>
            </w:r>
          </w:p>
        </w:tc>
      </w:tr>
      <w:tr>
        <w:tc>
          <w:tcPr>
            <w:tcW w:type="dxa" w:w="1080"/>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09:00</w:t>
            </w:r>
          </w:p>
        </w:tc>
        <w:tc>
          <w:tcPr>
            <w:tcW w:type="dxa" w:w="568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Check regulations and AL status</w:t>
            </w:r>
          </w:p>
        </w:tc>
        <w:tc>
          <w:tcPr>
            <w:tcW w:type="dxa" w:w="2016"/>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Compliance alerts</w:t>
            </w:r>
          </w:p>
        </w:tc>
      </w:tr>
      <w:tr>
        <w:tc>
          <w:tcPr>
            <w:tcW w:type="dxa" w:w="1080"/>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12:00</w:t>
            </w:r>
          </w:p>
        </w:tc>
        <w:tc>
          <w:tcPr>
            <w:tcW w:type="dxa" w:w="568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Run simulation update</w:t>
            </w:r>
          </w:p>
        </w:tc>
        <w:tc>
          <w:tcPr>
            <w:tcW w:type="dxa" w:w="2016"/>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Scenario forecast</w:t>
            </w:r>
          </w:p>
        </w:tc>
      </w:tr>
      <w:tr>
        <w:tc>
          <w:tcPr>
            <w:tcW w:type="dxa" w:w="1080"/>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18:00</w:t>
            </w:r>
          </w:p>
        </w:tc>
        <w:tc>
          <w:tcPr>
            <w:tcW w:type="dxa" w:w="568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Compile daily investment brief</w:t>
            </w:r>
          </w:p>
        </w:tc>
        <w:tc>
          <w:tcPr>
            <w:tcW w:type="dxa" w:w="2016"/>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Decision memo</w:t>
            </w:r>
          </w:p>
        </w:tc>
      </w:tr>
      <w:tr>
        <w:tc>
          <w:tcPr>
            <w:tcW w:type="dxa" w:w="1080"/>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20:00</w:t>
            </w:r>
          </w:p>
        </w:tc>
        <w:tc>
          <w:tcPr>
            <w:tcW w:type="dxa" w:w="568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Stress-test active portfolio</w:t>
            </w:r>
          </w:p>
        </w:tc>
        <w:tc>
          <w:tcPr>
            <w:tcW w:type="dxa" w:w="2016"/>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Risk matrix update</w:t>
            </w:r>
          </w:p>
        </w:tc>
      </w:tr>
    </w:tbl>
    <w:p>
      <w:pPr>
        <w:pStyle w:val="Heading2"/>
        <w:spacing w:before="160" w:after="80" w:line="240" w:lineRule="auto"/>
      </w:pPr>
    </w:p>
    <w:p>
      <w:pPr>
        <w:spacing w:after="120" w:before="0" w:line="240" w:lineRule="auto"/>
      </w:pPr>
      <w:r>
        <w:rPr>
          <w:rFonts w:ascii="Aptos" w:hAnsi="Aptos"/>
          <w:b w:val="0"/>
          <w:i w:val="0"/>
          <w:color w:val="1F1F1F"/>
          <w:sz w:val="22"/>
        </w:rPr>
        <w:t>AURA should not merely say what the market is doing. It should say what the user should do next. That means every module needs an action-oriented response format: what changed, why it changed, what the confidence is, what the downside is, and what action is recommended. This is the difference between a dashboard and a decision engine.</w:t>
      </w:r>
    </w:p>
    <w:p>
      <w:pPr>
        <w:pStyle w:val="Heading1"/>
        <w:spacing w:before="240" w:after="120" w:line="240" w:lineRule="auto"/>
      </w:pPr>
    </w:p>
    <w:tbl>
      <w:tblPr>
        <w:tblW w:type="auto" w:w="0"/>
        <w:jc w:val="center"/>
        <w:tblLayout w:type="autofit"/>
        <w:tblLook w:firstColumn="1" w:firstRow="1" w:lastColumn="0" w:lastRow="0" w:noHBand="0" w:noVBand="1" w:val="04A0"/>
      </w:tblPr>
      <w:tblGrid>
        <w:gridCol w:w="9936"/>
      </w:tblGrid>
      <w:tr>
        <w:tc>
          <w:tcPr>
            <w:tcW w:type="dxa" w:w="9936"/>
            <w:shd w:fill="F3F7FB"/>
            <w:tcMar>
              <w:top w:w="120" w:type="dxa"/>
              <w:start w:w="140" w:type="dxa"/>
              <w:bottom w:w="120" w:type="dxa"/>
              <w:end w:w="140" w:type="dxa"/>
            </w:tcMar>
          </w:tcPr>
          <w:p>
            <w:pPr>
              <w:spacing w:after="0"/>
            </w:pPr>
            <w:r>
              <w:rPr>
                <w:rFonts w:ascii="Aptos" w:hAnsi="Aptos"/>
                <w:b/>
                <w:i w:val="0"/>
                <w:color w:val="0F3B66"/>
                <w:sz w:val="22"/>
              </w:rPr>
              <w:t>Section Overview</w:t>
              <w:br/>
            </w:r>
            <w:r>
              <w:rPr>
                <w:rFonts w:ascii="Aptos" w:hAnsi="Aptos"/>
                <w:b w:val="0"/>
                <w:i w:val="0"/>
                <w:color w:val="1F1F1F"/>
                <w:sz w:val="21"/>
              </w:rPr>
              <w:t>The files identify five governance anchors that cannot be ignored: GDPR, the EU AI Act, Portuguese property law, licensing rules such as Alojamento Local, and sectoral tax frameworks including IMT and AIMI. The platform must be designed so that the regulated part of the system is understandable to both users and reviewers.</w:t>
            </w:r>
          </w:p>
        </w:tc>
      </w:tr>
    </w:tbl>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512"/>
            <w:shd w:fill="0F3B66"/>
            <w:tcMar>
              <w:top w:w="100" w:type="dxa"/>
              <w:start w:w="120" w:type="dxa"/>
              <w:bottom w:w="100" w:type="dxa"/>
              <w:end w:w="120" w:type="dxa"/>
            </w:tcMar>
            <w:vAlign w:val="center"/>
          </w:tcPr>
          <w:p>
            <w:pPr>
              <w:jc w:val="center"/>
            </w:pPr>
            <w:r>
              <w:rPr>
                <w:rFonts w:ascii="Aptos" w:hAnsi="Aptos"/>
                <w:b/>
                <w:i w:val="0"/>
                <w:color w:val="FFFFFF"/>
                <w:sz w:val="19"/>
              </w:rPr>
              <w:t>Risk area</w:t>
            </w:r>
          </w:p>
        </w:tc>
        <w:tc>
          <w:tcPr>
            <w:tcW w:type="dxa" w:w="3384"/>
            <w:shd w:fill="0F3B66"/>
            <w:tcMar>
              <w:top w:w="100" w:type="dxa"/>
              <w:start w:w="120" w:type="dxa"/>
              <w:bottom w:w="100" w:type="dxa"/>
              <w:end w:w="120" w:type="dxa"/>
            </w:tcMar>
            <w:vAlign w:val="center"/>
          </w:tcPr>
          <w:p>
            <w:pPr>
              <w:jc w:val="center"/>
            </w:pPr>
            <w:r>
              <w:rPr>
                <w:rFonts w:ascii="Aptos" w:hAnsi="Aptos"/>
                <w:b/>
                <w:i w:val="0"/>
                <w:color w:val="FFFFFF"/>
                <w:sz w:val="19"/>
              </w:rPr>
              <w:t>What could go wrong</w:t>
            </w:r>
          </w:p>
        </w:tc>
        <w:tc>
          <w:tcPr>
            <w:tcW w:type="dxa" w:w="4176"/>
            <w:shd w:fill="0F3B66"/>
            <w:tcMar>
              <w:top w:w="100" w:type="dxa"/>
              <w:start w:w="120" w:type="dxa"/>
              <w:bottom w:w="100" w:type="dxa"/>
              <w:end w:w="120" w:type="dxa"/>
            </w:tcMar>
            <w:vAlign w:val="center"/>
          </w:tcPr>
          <w:p>
            <w:pPr>
              <w:jc w:val="center"/>
            </w:pPr>
            <w:r>
              <w:rPr>
                <w:rFonts w:ascii="Aptos" w:hAnsi="Aptos"/>
                <w:b/>
                <w:i w:val="0"/>
                <w:color w:val="FFFFFF"/>
                <w:sz w:val="19"/>
              </w:rPr>
              <w:t>Mitigation</w:t>
            </w:r>
          </w:p>
        </w:tc>
      </w:tr>
      <w:tr>
        <w:tc>
          <w:tcPr>
            <w:tcW w:type="dxa" w:w="151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GDPR</w:t>
            </w:r>
          </w:p>
        </w:tc>
        <w:tc>
          <w:tcPr>
            <w:tcW w:type="dxa" w:w="338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Personal or financial data handled improperly</w:t>
            </w:r>
          </w:p>
        </w:tc>
        <w:tc>
          <w:tcPr>
            <w:tcW w:type="dxa" w:w="4176"/>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Self-hosted storage, minimization, local processing, retention rules</w:t>
            </w:r>
          </w:p>
        </w:tc>
      </w:tr>
      <w:tr>
        <w:tc>
          <w:tcPr>
            <w:tcW w:type="dxa" w:w="151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EU AI Act</w:t>
            </w:r>
          </w:p>
        </w:tc>
        <w:tc>
          <w:tcPr>
            <w:tcW w:type="dxa" w:w="338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High-risk use without oversight or transparency</w:t>
            </w:r>
          </w:p>
        </w:tc>
        <w:tc>
          <w:tcPr>
            <w:tcW w:type="dxa" w:w="4176"/>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Human checkpoints, disclosure, audit logs, versioned prompts</w:t>
            </w:r>
          </w:p>
        </w:tc>
      </w:tr>
      <w:tr>
        <w:tc>
          <w:tcPr>
            <w:tcW w:type="dxa" w:w="151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Scraping legality</w:t>
            </w:r>
          </w:p>
        </w:tc>
        <w:tc>
          <w:tcPr>
            <w:tcW w:type="dxa" w:w="338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Accessing or storing portal data beyond permitted use</w:t>
            </w:r>
          </w:p>
        </w:tc>
        <w:tc>
          <w:tcPr>
            <w:tcW w:type="dxa" w:w="4176"/>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Rate limiting, official APIs where possible, legal review</w:t>
            </w:r>
          </w:p>
        </w:tc>
      </w:tr>
      <w:tr>
        <w:tc>
          <w:tcPr>
            <w:tcW w:type="dxa" w:w="151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Bias and fairness</w:t>
            </w:r>
          </w:p>
        </w:tc>
        <w:tc>
          <w:tcPr>
            <w:tcW w:type="dxa" w:w="3384"/>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Lead scoring or valuation reproduces discriminatory patterns</w:t>
            </w:r>
          </w:p>
        </w:tc>
        <w:tc>
          <w:tcPr>
            <w:tcW w:type="dxa" w:w="4176"/>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Bias checks, explainability, diverse data, human review</w:t>
            </w:r>
          </w:p>
        </w:tc>
      </w:tr>
      <w:tr>
        <w:tc>
          <w:tcPr>
            <w:tcW w:type="dxa" w:w="151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Security</w:t>
            </w:r>
          </w:p>
        </w:tc>
        <w:tc>
          <w:tcPr>
            <w:tcW w:type="dxa" w:w="338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Skills, plugins, or exposed services leak data</w:t>
            </w:r>
          </w:p>
        </w:tc>
        <w:tc>
          <w:tcPr>
            <w:tcW w:type="dxa" w:w="4176"/>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Isolation, vetting, permissions, audits, updates</w:t>
            </w:r>
          </w:p>
        </w:tc>
      </w:tr>
      <w:tr>
        <w:tc>
          <w:tcPr>
            <w:tcW w:type="dxa" w:w="151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Simulation error</w:t>
            </w:r>
          </w:p>
        </w:tc>
        <w:tc>
          <w:tcPr>
            <w:tcW w:type="dxa" w:w="338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MiroFish scenarios treated as certainty</w:t>
            </w:r>
          </w:p>
        </w:tc>
        <w:tc>
          <w:tcPr>
            <w:tcW w:type="dxa" w:w="4176"/>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Confidence labels, sensitivity tests, backtesting</w:t>
            </w:r>
          </w:p>
        </w:tc>
      </w:tr>
    </w:tbl>
    <w:p>
      <w:pPr>
        <w:pStyle w:val="Heading2"/>
        <w:spacing w:before="160" w:after="80" w:line="240" w:lineRule="auto"/>
      </w:pPr>
    </w:p>
    <w:p>
      <w:pPr>
        <w:pStyle w:val="ListBullet"/>
        <w:spacing w:after="40" w:line="240" w:lineRule="auto"/>
        <w:ind w:left="0"/>
      </w:pPr>
      <w:r>
        <w:rPr>
          <w:rFonts w:ascii="Aptos" w:hAnsi="Aptos"/>
          <w:b w:val="0"/>
          <w:i w:val="0"/>
          <w:color w:val="1F1F1F"/>
          <w:sz w:val="21"/>
        </w:rPr>
        <w:t>Human approval is required for purchase commitment, contract signing, and any legally binding financial action.</w:t>
      </w:r>
    </w:p>
    <w:p>
      <w:pPr>
        <w:pStyle w:val="ListBullet"/>
        <w:spacing w:after="40" w:line="240" w:lineRule="auto"/>
        <w:ind w:left="0"/>
      </w:pPr>
      <w:r>
        <w:rPr>
          <w:rFonts w:ascii="Aptos" w:hAnsi="Aptos"/>
          <w:b w:val="0"/>
          <w:i w:val="0"/>
          <w:color w:val="1F1F1F"/>
          <w:sz w:val="21"/>
        </w:rPr>
        <w:t>AI-generated legal or tax advice must be labeled as decision support and reviewed by qualified professionals when necessary.</w:t>
      </w:r>
    </w:p>
    <w:p>
      <w:pPr>
        <w:pStyle w:val="ListBullet"/>
        <w:spacing w:after="40" w:line="240" w:lineRule="auto"/>
        <w:ind w:left="0"/>
      </w:pPr>
      <w:r>
        <w:rPr>
          <w:rFonts w:ascii="Aptos" w:hAnsi="Aptos"/>
          <w:b w:val="0"/>
          <w:i w:val="0"/>
          <w:color w:val="1F1F1F"/>
          <w:sz w:val="21"/>
        </w:rPr>
        <w:t>Any output that may affect pricing, eligibility, or compliance should include a rationale and source trail.</w:t>
      </w:r>
    </w:p>
    <w:p>
      <w:pPr>
        <w:pStyle w:val="ListBullet"/>
        <w:spacing w:after="40" w:line="240" w:lineRule="auto"/>
        <w:ind w:left="0"/>
      </w:pPr>
      <w:r>
        <w:rPr>
          <w:rFonts w:ascii="Aptos" w:hAnsi="Aptos"/>
          <w:b w:val="0"/>
          <w:i w:val="0"/>
          <w:color w:val="1F1F1F"/>
          <w:sz w:val="21"/>
        </w:rPr>
        <w:t>Security reviews of skills, connectors, and automation recipes are mandatory before production launch.</w:t>
      </w:r>
    </w:p>
    <w:p>
      <w:pPr>
        <w:pStyle w:val="Heading2"/>
        <w:spacing w:before="160" w:after="80" w:line="240" w:lineRule="auto"/>
      </w:pPr>
    </w:p>
    <w:p>
      <w:pPr>
        <w:spacing w:after="120" w:before="0" w:line="240" w:lineRule="auto"/>
      </w:pPr>
      <w:r>
        <w:rPr>
          <w:rFonts w:ascii="Aptos" w:hAnsi="Aptos"/>
          <w:b w:val="0"/>
          <w:i w:val="0"/>
          <w:color w:val="1F1F1F"/>
          <w:sz w:val="22"/>
        </w:rPr>
        <w:t>OpenClaw introduces practical power but also security risk, and the files are explicit about this. The platform must run in a dedicated, isolated environment, with minimum-privilege credentials and a narrow set of approved skills. MiroFish outputs also require caution because simulation quality depends on input quality and because agent-based scenarios are directional rather than guaranteed predictions. Together, those risks argue for disciplined deployment rather than experimental sprawl.</w:t>
      </w:r>
    </w:p>
    <w:p>
      <w:pPr>
        <w:pStyle w:val="Heading1"/>
        <w:spacing w:before="240" w:after="120" w:line="240" w:lineRule="auto"/>
      </w:pPr>
    </w:p>
    <w:tbl>
      <w:tblPr>
        <w:tblW w:type="auto" w:w="0"/>
        <w:jc w:val="center"/>
        <w:tblLayout w:type="autofit"/>
        <w:tblLook w:firstColumn="1" w:firstRow="1" w:lastColumn="0" w:lastRow="0" w:noHBand="0" w:noVBand="1" w:val="04A0"/>
      </w:tblPr>
      <w:tblGrid>
        <w:gridCol w:w="9936"/>
      </w:tblGrid>
      <w:tr>
        <w:tc>
          <w:tcPr>
            <w:tcW w:type="dxa" w:w="9936"/>
            <w:shd w:fill="F3F7FB"/>
            <w:tcMar>
              <w:top w:w="120" w:type="dxa"/>
              <w:start w:w="140" w:type="dxa"/>
              <w:bottom w:w="120" w:type="dxa"/>
              <w:end w:w="140" w:type="dxa"/>
            </w:tcMar>
          </w:tcPr>
          <w:p>
            <w:pPr>
              <w:spacing w:after="0"/>
            </w:pPr>
            <w:r>
              <w:rPr>
                <w:rFonts w:ascii="Aptos" w:hAnsi="Aptos"/>
                <w:b/>
                <w:i w:val="0"/>
                <w:color w:val="0F3B66"/>
                <w:sz w:val="22"/>
              </w:rPr>
              <w:t>Section Overview</w:t>
              <w:br/>
            </w:r>
            <w:r>
              <w:rPr>
                <w:rFonts w:ascii="Aptos" w:hAnsi="Aptos"/>
                <w:b w:val="0"/>
                <w:i w:val="0"/>
                <w:color w:val="1F1F1F"/>
                <w:sz w:val="21"/>
              </w:rPr>
              <w:t>The prototype should begin with a narrow but high-value workflow: bilingual lead qualification through WhatsApp with real estate context pulled from live listings. From there the system expands step by step into a daily-use pilot and then into a broader intelligence platform.</w:t>
            </w:r>
          </w:p>
        </w:tc>
      </w:tr>
    </w:tbl>
    <w:p>
      <w:pPr>
        <w:pStyle w:val="Heading2"/>
        <w:spacing w:before="160" w:after="80" w:line="240" w:lineRule="auto"/>
      </w:pPr>
    </w:p>
    <w:p>
      <w:pPr>
        <w:spacing w:after="100" w:before="0" w:line="240" w:lineRule="auto"/>
      </w:pPr>
      <w:r>
        <w:rPr>
          <w:rFonts w:ascii="Aptos" w:hAnsi="Aptos"/>
          <w:b w:val="0"/>
          <w:i w:val="0"/>
          <w:color w:val="1F1F1F"/>
          <w:sz w:val="22"/>
        </w:rPr>
        <w:t>The prototype phase should prove that the assistant can respond quickly, qualify reliably, hand off correctly, and log all activity in a usable format. It should also establish the first version of the data fusion layer.</w:t>
      </w:r>
    </w:p>
    <w:p>
      <w:pPr>
        <w:pStyle w:val="Heading2"/>
        <w:spacing w:before="160" w:after="80" w:line="240" w:lineRule="auto"/>
      </w:pPr>
    </w:p>
    <w:p>
      <w:pPr>
        <w:spacing w:after="100" w:before="0" w:line="240" w:lineRule="auto"/>
      </w:pPr>
      <w:r>
        <w:rPr>
          <w:rFonts w:ascii="Aptos" w:hAnsi="Aptos"/>
          <w:b w:val="0"/>
          <w:i w:val="0"/>
          <w:color w:val="1F1F1F"/>
          <w:sz w:val="22"/>
        </w:rPr>
        <w:t>Once the assistant works, the second phase adds marketing automation, basic valuation, and compliance checks. The goal is not to become omniscient; the goal is to become useful enough that agencies and investors trust the system with daily work. This is where pilot partnerships in Lisbon, Porto, and Algarve can validate conversion rates, response speed, and user satisfaction.</w:t>
      </w:r>
    </w:p>
    <w:p>
      <w:pPr>
        <w:pStyle w:val="Heading2"/>
        <w:spacing w:before="160" w:after="80" w:line="240" w:lineRule="auto"/>
      </w:pPr>
    </w:p>
    <w:p>
      <w:pPr>
        <w:spacing w:after="100" w:before="0" w:line="240" w:lineRule="auto"/>
      </w:pPr>
      <w:r>
        <w:rPr>
          <w:rFonts w:ascii="Aptos" w:hAnsi="Aptos"/>
          <w:b w:val="0"/>
          <w:i w:val="0"/>
          <w:color w:val="1F1F1F"/>
          <w:sz w:val="22"/>
        </w:rPr>
        <w:t>The third phase adds deeper forecasting, ESG, cross-border transaction support, and decision membranes connecting OpenClaw, MiroFish, and Paperclip. This is the phase where AURA becomes a real platform rather than a stack of features. By then, the system should be able to rank opportunities, simulate outcomes, explain tradeoffs, and propose next actions.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296"/>
            <w:shd w:fill="0F3B66"/>
            <w:tcMar>
              <w:top w:w="100" w:type="dxa"/>
              <w:start w:w="120" w:type="dxa"/>
              <w:bottom w:w="100" w:type="dxa"/>
              <w:end w:w="120" w:type="dxa"/>
            </w:tcMar>
            <w:vAlign w:val="center"/>
          </w:tcPr>
          <w:p>
            <w:pPr>
              <w:jc w:val="center"/>
            </w:pPr>
            <w:r>
              <w:rPr>
                <w:rFonts w:ascii="Aptos" w:hAnsi="Aptos"/>
                <w:b/>
                <w:i w:val="0"/>
                <w:color w:val="FFFFFF"/>
                <w:sz w:val="19"/>
              </w:rPr>
              <w:t>Phase</w:t>
            </w:r>
          </w:p>
        </w:tc>
        <w:tc>
          <w:tcPr>
            <w:tcW w:type="dxa" w:w="1152"/>
            <w:shd w:fill="0F3B66"/>
            <w:tcMar>
              <w:top w:w="100" w:type="dxa"/>
              <w:start w:w="120" w:type="dxa"/>
              <w:bottom w:w="100" w:type="dxa"/>
              <w:end w:w="120" w:type="dxa"/>
            </w:tcMar>
            <w:vAlign w:val="center"/>
          </w:tcPr>
          <w:p>
            <w:pPr>
              <w:jc w:val="center"/>
            </w:pPr>
            <w:r>
              <w:rPr>
                <w:rFonts w:ascii="Aptos" w:hAnsi="Aptos"/>
                <w:b/>
                <w:i w:val="0"/>
                <w:color w:val="FFFFFF"/>
                <w:sz w:val="19"/>
              </w:rPr>
              <w:t>Duration</w:t>
            </w:r>
          </w:p>
        </w:tc>
        <w:tc>
          <w:tcPr>
            <w:tcW w:type="dxa" w:w="4464"/>
            <w:shd w:fill="0F3B66"/>
            <w:tcMar>
              <w:top w:w="100" w:type="dxa"/>
              <w:start w:w="120" w:type="dxa"/>
              <w:bottom w:w="100" w:type="dxa"/>
              <w:end w:w="120" w:type="dxa"/>
            </w:tcMar>
            <w:vAlign w:val="center"/>
          </w:tcPr>
          <w:p>
            <w:pPr>
              <w:jc w:val="center"/>
            </w:pPr>
            <w:r>
              <w:rPr>
                <w:rFonts w:ascii="Aptos" w:hAnsi="Aptos"/>
                <w:b/>
                <w:i w:val="0"/>
                <w:color w:val="FFFFFF"/>
                <w:sz w:val="19"/>
              </w:rPr>
              <w:t>Primary deliverables</w:t>
            </w:r>
          </w:p>
        </w:tc>
        <w:tc>
          <w:tcPr>
            <w:tcW w:type="dxa" w:w="2520"/>
            <w:shd w:fill="0F3B66"/>
            <w:tcMar>
              <w:top w:w="100" w:type="dxa"/>
              <w:start w:w="120" w:type="dxa"/>
              <w:bottom w:w="100" w:type="dxa"/>
              <w:end w:w="120" w:type="dxa"/>
            </w:tcMar>
            <w:vAlign w:val="center"/>
          </w:tcPr>
          <w:p>
            <w:pPr>
              <w:jc w:val="center"/>
            </w:pPr>
            <w:r>
              <w:rPr>
                <w:rFonts w:ascii="Aptos" w:hAnsi="Aptos"/>
                <w:b/>
                <w:i w:val="0"/>
                <w:color w:val="FFFFFF"/>
                <w:sz w:val="19"/>
              </w:rPr>
              <w:t>Success signal</w:t>
            </w:r>
          </w:p>
        </w:tc>
      </w:tr>
      <w:tr>
        <w:tc>
          <w:tcPr>
            <w:tcW w:type="dxa" w:w="1296"/>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Phase 1</w:t>
            </w:r>
          </w:p>
        </w:tc>
        <w:tc>
          <w:tcPr>
            <w:tcW w:type="dxa" w:w="1152"/>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0–3 months</w:t>
            </w:r>
          </w:p>
        </w:tc>
        <w:tc>
          <w:tcPr>
            <w:tcW w:type="dxa" w:w="446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Lead assistant, listings ingestion, basic pipeline</w:t>
            </w:r>
          </w:p>
        </w:tc>
        <w:tc>
          <w:tcPr>
            <w:tcW w:type="dxa" w:w="252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Pilot users and measurable response gains</w:t>
            </w:r>
          </w:p>
        </w:tc>
      </w:tr>
      <w:tr>
        <w:tc>
          <w:tcPr>
            <w:tcW w:type="dxa" w:w="1296"/>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Phase 2</w:t>
            </w:r>
          </w:p>
        </w:tc>
        <w:tc>
          <w:tcPr>
            <w:tcW w:type="dxa" w:w="1152"/>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3–6 months</w:t>
            </w:r>
          </w:p>
        </w:tc>
        <w:tc>
          <w:tcPr>
            <w:tcW w:type="dxa" w:w="446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Marketing, ESG, simple valuation, compliance alerts</w:t>
            </w:r>
          </w:p>
        </w:tc>
        <w:tc>
          <w:tcPr>
            <w:tcW w:type="dxa" w:w="252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Paid customers and expanded workflow use</w:t>
            </w:r>
          </w:p>
        </w:tc>
      </w:tr>
      <w:tr>
        <w:tc>
          <w:tcPr>
            <w:tcW w:type="dxa" w:w="1296"/>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Phase 3</w:t>
            </w:r>
          </w:p>
        </w:tc>
        <w:tc>
          <w:tcPr>
            <w:tcW w:type="dxa" w:w="1152"/>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6–12 months</w:t>
            </w:r>
          </w:p>
        </w:tc>
        <w:tc>
          <w:tcPr>
            <w:tcW w:type="dxa" w:w="446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Simulation, due diligence, cross-border support</w:t>
            </w:r>
          </w:p>
        </w:tc>
        <w:tc>
          <w:tcPr>
            <w:tcW w:type="dxa" w:w="252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Platform adoption and recurring revenue</w:t>
            </w:r>
          </w:p>
        </w:tc>
      </w:tr>
      <w:tr>
        <w:tc>
          <w:tcPr>
            <w:tcW w:type="dxa" w:w="1296"/>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Phase 4</w:t>
            </w:r>
          </w:p>
        </w:tc>
        <w:tc>
          <w:tcPr>
            <w:tcW w:type="dxa" w:w="1152"/>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12–18 months</w:t>
            </w:r>
          </w:p>
        </w:tc>
        <w:tc>
          <w:tcPr>
            <w:tcW w:type="dxa" w:w="446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Multi-agent intelligence company and scale</w:t>
            </w:r>
          </w:p>
        </w:tc>
        <w:tc>
          <w:tcPr>
            <w:tcW w:type="dxa" w:w="252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Broader product suite and enterprise partnerships</w:t>
            </w:r>
          </w:p>
        </w:tc>
      </w:tr>
    </w:tbl>
    <w:p>
      <w:pPr>
        <w:pStyle w:val="Heading1"/>
        <w:spacing w:before="240" w:after="120" w:line="240" w:lineRule="auto"/>
      </w:pPr>
    </w:p>
    <w:tbl>
      <w:tblPr>
        <w:tblW w:type="auto" w:w="0"/>
        <w:jc w:val="center"/>
        <w:tblLayout w:type="autofit"/>
        <w:tblLook w:firstColumn="1" w:firstRow="1" w:lastColumn="0" w:lastRow="0" w:noHBand="0" w:noVBand="1" w:val="04A0"/>
      </w:tblPr>
      <w:tblGrid>
        <w:gridCol w:w="9936"/>
      </w:tblGrid>
      <w:tr>
        <w:tc>
          <w:tcPr>
            <w:tcW w:type="dxa" w:w="9936"/>
            <w:shd w:fill="F3F7FB"/>
            <w:tcMar>
              <w:top w:w="120" w:type="dxa"/>
              <w:start w:w="140" w:type="dxa"/>
              <w:bottom w:w="120" w:type="dxa"/>
              <w:end w:w="140" w:type="dxa"/>
            </w:tcMar>
          </w:tcPr>
          <w:p>
            <w:pPr>
              <w:spacing w:after="0"/>
            </w:pPr>
            <w:r>
              <w:rPr>
                <w:rFonts w:ascii="Aptos" w:hAnsi="Aptos"/>
                <w:b/>
                <w:i w:val="0"/>
                <w:color w:val="0F3B66"/>
                <w:sz w:val="22"/>
              </w:rPr>
              <w:t>Section Overview</w:t>
              <w:br/>
            </w:r>
            <w:r>
              <w:rPr>
                <w:rFonts w:ascii="Aptos" w:hAnsi="Aptos"/>
                <w:b w:val="0"/>
                <w:i w:val="0"/>
                <w:color w:val="1F1F1F"/>
                <w:sz w:val="21"/>
              </w:rPr>
              <w:t>AURA should be measured by business outcomes, not only by technical completion. The strongest KPIs are response speed, conversion quality, international lead share, administrative cost reduction, recurring revenue, compliance cleanliness, and traceability.</w:t>
            </w:r>
          </w:p>
        </w:tc>
      </w:tr>
    </w:tbl>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88"/>
            <w:shd w:fill="0F3B66"/>
            <w:tcMar>
              <w:top w:w="100" w:type="dxa"/>
              <w:start w:w="120" w:type="dxa"/>
              <w:bottom w:w="100" w:type="dxa"/>
              <w:end w:w="120" w:type="dxa"/>
            </w:tcMar>
            <w:vAlign w:val="center"/>
          </w:tcPr>
          <w:p>
            <w:pPr>
              <w:jc w:val="center"/>
            </w:pPr>
            <w:r>
              <w:rPr>
                <w:rFonts w:ascii="Aptos" w:hAnsi="Aptos"/>
                <w:b/>
                <w:i w:val="0"/>
                <w:color w:val="FFFFFF"/>
                <w:sz w:val="19"/>
              </w:rPr>
              <w:t>Metric</w:t>
            </w:r>
          </w:p>
        </w:tc>
        <w:tc>
          <w:tcPr>
            <w:tcW w:type="dxa" w:w="1944"/>
            <w:shd w:fill="0F3B66"/>
            <w:tcMar>
              <w:top w:w="100" w:type="dxa"/>
              <w:start w:w="120" w:type="dxa"/>
              <w:bottom w:w="100" w:type="dxa"/>
              <w:end w:w="120" w:type="dxa"/>
            </w:tcMar>
            <w:vAlign w:val="center"/>
          </w:tcPr>
          <w:p>
            <w:pPr>
              <w:jc w:val="center"/>
            </w:pPr>
            <w:r>
              <w:rPr>
                <w:rFonts w:ascii="Aptos" w:hAnsi="Aptos"/>
                <w:b/>
                <w:i w:val="0"/>
                <w:color w:val="FFFFFF"/>
                <w:sz w:val="19"/>
              </w:rPr>
              <w:t>Target direction</w:t>
            </w:r>
          </w:p>
        </w:tc>
        <w:tc>
          <w:tcPr>
            <w:tcW w:type="dxa" w:w="4320"/>
            <w:shd w:fill="0F3B66"/>
            <w:tcMar>
              <w:top w:w="100" w:type="dxa"/>
              <w:start w:w="120" w:type="dxa"/>
              <w:bottom w:w="100" w:type="dxa"/>
              <w:end w:w="120" w:type="dxa"/>
            </w:tcMar>
            <w:vAlign w:val="center"/>
          </w:tcPr>
          <w:p>
            <w:pPr>
              <w:jc w:val="center"/>
            </w:pPr>
            <w:r>
              <w:rPr>
                <w:rFonts w:ascii="Aptos" w:hAnsi="Aptos"/>
                <w:b/>
                <w:i w:val="0"/>
                <w:color w:val="FFFFFF"/>
                <w:sz w:val="19"/>
              </w:rPr>
              <w:t>Why it matters</w:t>
            </w:r>
          </w:p>
        </w:tc>
      </w:tr>
      <w:tr>
        <w:tc>
          <w:tcPr>
            <w:tcW w:type="dxa" w:w="2088"/>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First response time</w:t>
            </w:r>
          </w:p>
        </w:tc>
        <w:tc>
          <w:tcPr>
            <w:tcW w:type="dxa" w:w="194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&lt; 2 minutes</w:t>
            </w:r>
          </w:p>
        </w:tc>
        <w:tc>
          <w:tcPr>
            <w:tcW w:type="dxa" w:w="432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Lead conversion is extremely time-sensitive</w:t>
            </w:r>
          </w:p>
        </w:tc>
      </w:tr>
      <w:tr>
        <w:tc>
          <w:tcPr>
            <w:tcW w:type="dxa" w:w="2088"/>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Lead-to-viewing conversion</w:t>
            </w:r>
          </w:p>
        </w:tc>
        <w:tc>
          <w:tcPr>
            <w:tcW w:type="dxa" w:w="194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25–35%</w:t>
            </w:r>
          </w:p>
        </w:tc>
        <w:tc>
          <w:tcPr>
            <w:tcW w:type="dxa" w:w="432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Measures assistant quality and trust</w:t>
            </w:r>
          </w:p>
        </w:tc>
      </w:tr>
      <w:tr>
        <w:tc>
          <w:tcPr>
            <w:tcW w:type="dxa" w:w="2088"/>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International lead share</w:t>
            </w:r>
          </w:p>
        </w:tc>
        <w:tc>
          <w:tcPr>
            <w:tcW w:type="dxa" w:w="194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45%+ of inquiries</w:t>
            </w:r>
          </w:p>
        </w:tc>
        <w:tc>
          <w:tcPr>
            <w:tcW w:type="dxa" w:w="432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Validates multilingual foreign-buyer focus</w:t>
            </w:r>
          </w:p>
        </w:tc>
      </w:tr>
      <w:tr>
        <w:tc>
          <w:tcPr>
            <w:tcW w:type="dxa" w:w="2088"/>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Admin cost reduction</w:t>
            </w:r>
          </w:p>
        </w:tc>
        <w:tc>
          <w:tcPr>
            <w:tcW w:type="dxa" w:w="194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40–60%</w:t>
            </w:r>
          </w:p>
        </w:tc>
        <w:tc>
          <w:tcPr>
            <w:tcW w:type="dxa" w:w="432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Shows tangible ROI for agencies</w:t>
            </w:r>
          </w:p>
        </w:tc>
      </w:tr>
      <w:tr>
        <w:tc>
          <w:tcPr>
            <w:tcW w:type="dxa" w:w="2088"/>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MRR</w:t>
            </w:r>
          </w:p>
        </w:tc>
        <w:tc>
          <w:tcPr>
            <w:tcW w:type="dxa" w:w="194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Scale to sustainable recurring revenue</w:t>
            </w:r>
          </w:p>
        </w:tc>
        <w:tc>
          <w:tcPr>
            <w:tcW w:type="dxa" w:w="432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Supports productization and growth</w:t>
            </w:r>
          </w:p>
        </w:tc>
      </w:tr>
      <w:tr>
        <w:tc>
          <w:tcPr>
            <w:tcW w:type="dxa" w:w="2088"/>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Compliance findings</w:t>
            </w:r>
          </w:p>
        </w:tc>
        <w:tc>
          <w:tcPr>
            <w:tcW w:type="dxa" w:w="194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Zero material issues</w:t>
            </w:r>
          </w:p>
        </w:tc>
        <w:tc>
          <w:tcPr>
            <w:tcW w:type="dxa" w:w="432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Necessary for production credibility</w:t>
            </w:r>
          </w:p>
        </w:tc>
      </w:tr>
      <w:tr>
        <w:tc>
          <w:tcPr>
            <w:tcW w:type="dxa" w:w="2088"/>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Decision traceability</w:t>
            </w:r>
          </w:p>
        </w:tc>
        <w:tc>
          <w:tcPr>
            <w:tcW w:type="dxa" w:w="1944"/>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Fully auditable</w:t>
            </w:r>
          </w:p>
        </w:tc>
        <w:tc>
          <w:tcPr>
            <w:tcW w:type="dxa" w:w="432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Required for explainable AI and supervision</w:t>
            </w:r>
          </w:p>
        </w:tc>
      </w:tr>
    </w:tbl>
    <w:p>
      <w:pPr>
        <w:pStyle w:val="Heading2"/>
        <w:spacing w:before="160" w:after="80" w:line="240" w:lineRule="auto"/>
      </w:pPr>
    </w:p>
    <w:p>
      <w:pPr>
        <w:spacing w:after="120" w:before="0" w:line="240" w:lineRule="auto"/>
      </w:pPr>
      <w:r>
        <w:rPr>
          <w:rFonts w:ascii="Aptos" w:hAnsi="Aptos"/>
          <w:b w:val="0"/>
          <w:i w:val="0"/>
          <w:color w:val="1F1F1F"/>
          <w:sz w:val="22"/>
        </w:rPr>
        <w:t>The most realistic monetization path starts with SaaS subscriptions for agencies and individual professionals, then expands into usage-based fees, transaction-linked revenue, referral revenue, and white-label licensing for larger brokerages or regional partners. This model mirrors how the platform creates value: it reduces labor, increases conversion, and helps clients make faster and better decisions.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shd w:fill="0F3B66"/>
            <w:tcMar>
              <w:top w:w="100" w:type="dxa"/>
              <w:start w:w="120" w:type="dxa"/>
              <w:bottom w:w="100" w:type="dxa"/>
              <w:end w:w="120" w:type="dxa"/>
            </w:tcMar>
            <w:vAlign w:val="center"/>
          </w:tcPr>
          <w:p>
            <w:pPr>
              <w:jc w:val="center"/>
            </w:pPr>
            <w:r>
              <w:rPr>
                <w:rFonts w:ascii="Aptos" w:hAnsi="Aptos"/>
                <w:b/>
                <w:i w:val="0"/>
                <w:color w:val="FFFFFF"/>
                <w:sz w:val="19"/>
              </w:rPr>
              <w:t>Model</w:t>
            </w:r>
          </w:p>
        </w:tc>
        <w:tc>
          <w:tcPr>
            <w:tcW w:type="dxa" w:w="4536"/>
            <w:shd w:fill="0F3B66"/>
            <w:tcMar>
              <w:top w:w="100" w:type="dxa"/>
              <w:start w:w="120" w:type="dxa"/>
              <w:bottom w:w="100" w:type="dxa"/>
              <w:end w:w="120" w:type="dxa"/>
            </w:tcMar>
            <w:vAlign w:val="center"/>
          </w:tcPr>
          <w:p>
            <w:pPr>
              <w:jc w:val="center"/>
            </w:pPr>
            <w:r>
              <w:rPr>
                <w:rFonts w:ascii="Aptos" w:hAnsi="Aptos"/>
                <w:b/>
                <w:i w:val="0"/>
                <w:color w:val="FFFFFF"/>
                <w:sz w:val="19"/>
              </w:rPr>
              <w:t>How it works</w:t>
            </w:r>
          </w:p>
        </w:tc>
        <w:tc>
          <w:tcPr>
            <w:tcW w:type="dxa" w:w="2448"/>
            <w:shd w:fill="0F3B66"/>
            <w:tcMar>
              <w:top w:w="100" w:type="dxa"/>
              <w:start w:w="120" w:type="dxa"/>
              <w:bottom w:w="100" w:type="dxa"/>
              <w:end w:w="120" w:type="dxa"/>
            </w:tcMar>
            <w:vAlign w:val="center"/>
          </w:tcPr>
          <w:p>
            <w:pPr>
              <w:jc w:val="center"/>
            </w:pPr>
            <w:r>
              <w:rPr>
                <w:rFonts w:ascii="Aptos" w:hAnsi="Aptos"/>
                <w:b/>
                <w:i w:val="0"/>
                <w:color w:val="FFFFFF"/>
                <w:sz w:val="19"/>
              </w:rPr>
              <w:t>Best fit</w:t>
            </w:r>
          </w:p>
        </w:tc>
      </w:tr>
      <w:tr>
        <w:tc>
          <w:tcPr>
            <w:tcW w:type="dxa" w:w="223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SaaS subscription</w:t>
            </w:r>
          </w:p>
        </w:tc>
        <w:tc>
          <w:tcPr>
            <w:tcW w:type="dxa" w:w="4536"/>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Monthly tiers for lead response, valuation, or marketing</w:t>
            </w:r>
          </w:p>
        </w:tc>
        <w:tc>
          <w:tcPr>
            <w:tcW w:type="dxa" w:w="244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Agencies and small teams</w:t>
            </w:r>
          </w:p>
        </w:tc>
      </w:tr>
      <w:tr>
        <w:tc>
          <w:tcPr>
            <w:tcW w:type="dxa" w:w="223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Per-transaction fee</w:t>
            </w:r>
          </w:p>
        </w:tc>
        <w:tc>
          <w:tcPr>
            <w:tcW w:type="dxa" w:w="4536"/>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Charge for facilitated transactions or completed cross-border support</w:t>
            </w:r>
          </w:p>
        </w:tc>
        <w:tc>
          <w:tcPr>
            <w:tcW w:type="dxa" w:w="244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Brokerages and foreign buyer flows</w:t>
            </w:r>
          </w:p>
        </w:tc>
      </w:tr>
      <w:tr>
        <w:tc>
          <w:tcPr>
            <w:tcW w:type="dxa" w:w="223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Referral revenue</w:t>
            </w:r>
          </w:p>
        </w:tc>
        <w:tc>
          <w:tcPr>
            <w:tcW w:type="dxa" w:w="4536"/>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Share economics from legal, tax, mortgage, or renovation referrals</w:t>
            </w:r>
          </w:p>
        </w:tc>
        <w:tc>
          <w:tcPr>
            <w:tcW w:type="dxa" w:w="244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Cross-border and investor workflows</w:t>
            </w:r>
          </w:p>
        </w:tc>
      </w:tr>
      <w:tr>
        <w:tc>
          <w:tcPr>
            <w:tcW w:type="dxa" w:w="223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White-label licensing</w:t>
            </w:r>
          </w:p>
        </w:tc>
        <w:tc>
          <w:tcPr>
            <w:tcW w:type="dxa" w:w="4536"/>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Embed the platform in larger brokerage systems</w:t>
            </w:r>
          </w:p>
        </w:tc>
        <w:tc>
          <w:tcPr>
            <w:tcW w:type="dxa" w:w="244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Enterprise brokerages and portals</w:t>
            </w:r>
          </w:p>
        </w:tc>
      </w:tr>
    </w:tbl>
    <w:p>
      <w:pPr>
        <w:pStyle w:val="Heading1"/>
        <w:spacing w:before="240" w:after="120" w:line="240" w:lineRule="auto"/>
      </w:pPr>
    </w:p>
    <w:tbl>
      <w:tblPr>
        <w:tblW w:type="auto" w:w="0"/>
        <w:jc w:val="center"/>
        <w:tblLayout w:type="autofit"/>
        <w:tblLook w:firstColumn="1" w:firstRow="1" w:lastColumn="0" w:lastRow="0" w:noHBand="0" w:noVBand="1" w:val="04A0"/>
      </w:tblPr>
      <w:tblGrid>
        <w:gridCol w:w="9936"/>
      </w:tblGrid>
      <w:tr>
        <w:tc>
          <w:tcPr>
            <w:tcW w:type="dxa" w:w="9936"/>
            <w:shd w:fill="F3F7FB"/>
            <w:tcMar>
              <w:top w:w="120" w:type="dxa"/>
              <w:start w:w="140" w:type="dxa"/>
              <w:bottom w:w="120" w:type="dxa"/>
              <w:end w:w="140" w:type="dxa"/>
            </w:tcMar>
          </w:tcPr>
          <w:p>
            <w:pPr>
              <w:spacing w:after="0"/>
            </w:pPr>
            <w:r>
              <w:rPr>
                <w:rFonts w:ascii="Aptos" w:hAnsi="Aptos"/>
                <w:b/>
                <w:i w:val="0"/>
                <w:color w:val="0F3B66"/>
                <w:sz w:val="22"/>
              </w:rPr>
              <w:t>Section Overview</w:t>
              <w:br/>
            </w:r>
            <w:r>
              <w:rPr>
                <w:rFonts w:ascii="Aptos" w:hAnsi="Aptos"/>
                <w:b w:val="0"/>
                <w:i w:val="0"/>
                <w:color w:val="1F1F1F"/>
                <w:sz w:val="21"/>
              </w:rPr>
              <w:t>The final Portugal intelligence stack unifies the file set into one cohesive environment. OpenClaw handles tasks and communications. MiroFish models scenarios and forecast ranges. Paperclip organizes the virtual company. LangGraph and CrewAI shape multi-step and role-based workflow logic. External models such as valuation, vision, and document intelligence provide domain specialization.</w:t>
            </w:r>
          </w:p>
        </w:tc>
      </w:tr>
    </w:tbl>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04"/>
            <w:shd w:fill="0F3B66"/>
            <w:tcMar>
              <w:top w:w="100" w:type="dxa"/>
              <w:start w:w="120" w:type="dxa"/>
              <w:bottom w:w="100" w:type="dxa"/>
              <w:end w:w="120" w:type="dxa"/>
            </w:tcMar>
            <w:vAlign w:val="center"/>
          </w:tcPr>
          <w:p>
            <w:pPr>
              <w:jc w:val="center"/>
            </w:pPr>
            <w:r>
              <w:rPr>
                <w:rFonts w:ascii="Aptos" w:hAnsi="Aptos"/>
                <w:b/>
                <w:i w:val="0"/>
                <w:color w:val="FFFFFF"/>
                <w:sz w:val="19"/>
              </w:rPr>
              <w:t>Component</w:t>
            </w:r>
          </w:p>
        </w:tc>
        <w:tc>
          <w:tcPr>
            <w:tcW w:type="dxa" w:w="2520"/>
            <w:shd w:fill="0F3B66"/>
            <w:tcMar>
              <w:top w:w="100" w:type="dxa"/>
              <w:start w:w="120" w:type="dxa"/>
              <w:bottom w:w="100" w:type="dxa"/>
              <w:end w:w="120" w:type="dxa"/>
            </w:tcMar>
            <w:vAlign w:val="center"/>
          </w:tcPr>
          <w:p>
            <w:pPr>
              <w:jc w:val="center"/>
            </w:pPr>
            <w:r>
              <w:rPr>
                <w:rFonts w:ascii="Aptos" w:hAnsi="Aptos"/>
                <w:b/>
                <w:i w:val="0"/>
                <w:color w:val="FFFFFF"/>
                <w:sz w:val="19"/>
              </w:rPr>
              <w:t>Primary role</w:t>
            </w:r>
          </w:p>
        </w:tc>
        <w:tc>
          <w:tcPr>
            <w:tcW w:type="dxa" w:w="4320"/>
            <w:shd w:fill="0F3B66"/>
            <w:tcMar>
              <w:top w:w="100" w:type="dxa"/>
              <w:start w:w="120" w:type="dxa"/>
              <w:bottom w:w="100" w:type="dxa"/>
              <w:end w:w="120" w:type="dxa"/>
            </w:tcMar>
            <w:vAlign w:val="center"/>
          </w:tcPr>
          <w:p>
            <w:pPr>
              <w:jc w:val="center"/>
            </w:pPr>
            <w:r>
              <w:rPr>
                <w:rFonts w:ascii="Aptos" w:hAnsi="Aptos"/>
                <w:b/>
                <w:i w:val="0"/>
                <w:color w:val="FFFFFF"/>
                <w:sz w:val="19"/>
              </w:rPr>
              <w:t>Why it exists</w:t>
            </w:r>
          </w:p>
        </w:tc>
      </w:tr>
      <w:tr>
        <w:tc>
          <w:tcPr>
            <w:tcW w:type="dxa" w:w="2304"/>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OpenClaw</w:t>
            </w:r>
          </w:p>
        </w:tc>
        <w:tc>
          <w:tcPr>
            <w:tcW w:type="dxa" w:w="252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Execution and communication</w:t>
            </w:r>
          </w:p>
        </w:tc>
        <w:tc>
          <w:tcPr>
            <w:tcW w:type="dxa" w:w="432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Turns intelligence into action</w:t>
            </w:r>
          </w:p>
        </w:tc>
      </w:tr>
      <w:tr>
        <w:tc>
          <w:tcPr>
            <w:tcW w:type="dxa" w:w="2304"/>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MiroFish</w:t>
            </w:r>
          </w:p>
        </w:tc>
        <w:tc>
          <w:tcPr>
            <w:tcW w:type="dxa" w:w="252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Scenario simulation</w:t>
            </w:r>
          </w:p>
        </w:tc>
        <w:tc>
          <w:tcPr>
            <w:tcW w:type="dxa" w:w="432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Turns data into future possibilities</w:t>
            </w:r>
          </w:p>
        </w:tc>
      </w:tr>
      <w:tr>
        <w:tc>
          <w:tcPr>
            <w:tcW w:type="dxa" w:w="2304"/>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Paperclip</w:t>
            </w:r>
          </w:p>
        </w:tc>
        <w:tc>
          <w:tcPr>
            <w:tcW w:type="dxa" w:w="252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Organization orchestration</w:t>
            </w:r>
          </w:p>
        </w:tc>
        <w:tc>
          <w:tcPr>
            <w:tcW w:type="dxa" w:w="432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Turns agents into a company</w:t>
            </w:r>
          </w:p>
        </w:tc>
      </w:tr>
      <w:tr>
        <w:tc>
          <w:tcPr>
            <w:tcW w:type="dxa" w:w="2304"/>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CrewAI</w:t>
            </w:r>
          </w:p>
        </w:tc>
        <w:tc>
          <w:tcPr>
            <w:tcW w:type="dxa" w:w="252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Role-based collaboration</w:t>
            </w:r>
          </w:p>
        </w:tc>
        <w:tc>
          <w:tcPr>
            <w:tcW w:type="dxa" w:w="432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Defines specialist agent teams</w:t>
            </w:r>
          </w:p>
        </w:tc>
      </w:tr>
      <w:tr>
        <w:tc>
          <w:tcPr>
            <w:tcW w:type="dxa" w:w="2304"/>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LangGraph</w:t>
            </w:r>
          </w:p>
        </w:tc>
        <w:tc>
          <w:tcPr>
            <w:tcW w:type="dxa" w:w="252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Stateful workflow control</w:t>
            </w:r>
          </w:p>
        </w:tc>
        <w:tc>
          <w:tcPr>
            <w:tcW w:type="dxa" w:w="432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Keeps complex processes traceable</w:t>
            </w:r>
          </w:p>
        </w:tc>
      </w:tr>
      <w:tr>
        <w:tc>
          <w:tcPr>
            <w:tcW w:type="dxa" w:w="2304"/>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HouseCanary-style valuation</w:t>
            </w:r>
          </w:p>
        </w:tc>
        <w:tc>
          <w:tcPr>
            <w:tcW w:type="dxa" w:w="252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Pricing intelligence</w:t>
            </w:r>
          </w:p>
        </w:tc>
        <w:tc>
          <w:tcPr>
            <w:tcW w:type="dxa" w:w="432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Improves deal selection and underwriting</w:t>
            </w:r>
          </w:p>
        </w:tc>
      </w:tr>
      <w:tr>
        <w:tc>
          <w:tcPr>
            <w:tcW w:type="dxa" w:w="2304"/>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Matterport / vision AI</w:t>
            </w:r>
          </w:p>
        </w:tc>
        <w:tc>
          <w:tcPr>
            <w:tcW w:type="dxa" w:w="252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Remote inspection</w:t>
            </w:r>
          </w:p>
        </w:tc>
        <w:tc>
          <w:tcPr>
            <w:tcW w:type="dxa" w:w="4320"/>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Adds physical property assessment</w:t>
            </w:r>
          </w:p>
        </w:tc>
      </w:tr>
    </w:tbl>
    <w:p>
      <w:pPr>
        <w:pStyle w:val="Heading2"/>
        <w:spacing w:before="160" w:after="80" w:line="240" w:lineRule="auto"/>
      </w:pPr>
    </w:p>
    <w:p>
      <w:pPr>
        <w:spacing w:after="120" w:before="0" w:line="240" w:lineRule="auto"/>
      </w:pPr>
      <w:r>
        <w:rPr>
          <w:rFonts w:ascii="Aptos" w:hAnsi="Aptos"/>
          <w:b w:val="0"/>
          <w:i w:val="0"/>
          <w:color w:val="1F1F1F"/>
          <w:sz w:val="22"/>
        </w:rPr>
        <w:t>This stack is defensible because it is not dependent on any single feature. It is assembled around a broader operating principle: fragmented information requires an intelligence layer that can collect, explain, simulate, and act. That principle is hard to copy if it is implemented well, because the moat is not just code; it is the quality of the data fusion, the workflow design, the auditability, the local market adaptation, and the operational habit of actually using the system every day.</w:t>
      </w:r>
    </w:p>
    <w:p>
      <w:pPr>
        <w:pStyle w:val="Heading1"/>
        <w:spacing w:before="240" w:after="120" w:line="240" w:lineRule="auto"/>
      </w:pPr>
    </w:p>
    <w:tbl>
      <w:tblPr>
        <w:tblW w:type="auto" w:w="0"/>
        <w:jc w:val="center"/>
        <w:tblLayout w:type="autofit"/>
        <w:tblLook w:firstColumn="1" w:firstRow="1" w:lastColumn="0" w:lastRow="0" w:noHBand="0" w:noVBand="1" w:val="04A0"/>
      </w:tblPr>
      <w:tblGrid>
        <w:gridCol w:w="9936"/>
      </w:tblGrid>
      <w:tr>
        <w:tc>
          <w:tcPr>
            <w:tcW w:type="dxa" w:w="9936"/>
            <w:shd w:fill="F3F7FB"/>
            <w:tcMar>
              <w:top w:w="120" w:type="dxa"/>
              <w:start w:w="140" w:type="dxa"/>
              <w:bottom w:w="120" w:type="dxa"/>
              <w:end w:w="140" w:type="dxa"/>
            </w:tcMar>
          </w:tcPr>
          <w:p>
            <w:pPr>
              <w:spacing w:after="0"/>
            </w:pPr>
            <w:r>
              <w:rPr>
                <w:rFonts w:ascii="Aptos" w:hAnsi="Aptos"/>
                <w:b/>
                <w:i w:val="0"/>
                <w:color w:val="0F3B66"/>
                <w:sz w:val="22"/>
              </w:rPr>
              <w:t>Section Overview</w:t>
              <w:br/>
            </w:r>
            <w:r>
              <w:rPr>
                <w:rFonts w:ascii="Aptos" w:hAnsi="Aptos"/>
                <w:b w:val="0"/>
                <w:i w:val="0"/>
                <w:color w:val="1F1F1F"/>
                <w:sz w:val="21"/>
              </w:rPr>
              <w:t>This appendix maps each source file into the final report so the full lineage is explicit. Together, the files form a single chain: opportunity theory, global market scan, value analysis, Portugal adaptation, technology deep dive, execution tooling, simulation tooling, and the final integrated blueprint.</w:t>
            </w:r>
          </w:p>
        </w:tc>
      </w:tr>
    </w:tbl>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152"/>
            <w:shd w:fill="0F3B66"/>
            <w:tcMar>
              <w:top w:w="100" w:type="dxa"/>
              <w:start w:w="120" w:type="dxa"/>
              <w:bottom w:w="100" w:type="dxa"/>
              <w:end w:w="120" w:type="dxa"/>
            </w:tcMar>
            <w:vAlign w:val="center"/>
          </w:tcPr>
          <w:p>
            <w:pPr>
              <w:jc w:val="center"/>
            </w:pPr>
            <w:r>
              <w:rPr>
                <w:rFonts w:ascii="Aptos" w:hAnsi="Aptos"/>
                <w:b/>
                <w:i w:val="0"/>
                <w:color w:val="FFFFFF"/>
                <w:sz w:val="19"/>
              </w:rPr>
              <w:t>File</w:t>
            </w:r>
          </w:p>
        </w:tc>
        <w:tc>
          <w:tcPr>
            <w:tcW w:type="dxa" w:w="8136"/>
            <w:shd w:fill="0F3B66"/>
            <w:tcMar>
              <w:top w:w="100" w:type="dxa"/>
              <w:start w:w="120" w:type="dxa"/>
              <w:bottom w:w="100" w:type="dxa"/>
              <w:end w:w="120" w:type="dxa"/>
            </w:tcMar>
            <w:vAlign w:val="center"/>
          </w:tcPr>
          <w:p>
            <w:pPr>
              <w:jc w:val="center"/>
            </w:pPr>
            <w:r>
              <w:rPr>
                <w:rFonts w:ascii="Aptos" w:hAnsi="Aptos"/>
                <w:b/>
                <w:i w:val="0"/>
                <w:color w:val="FFFFFF"/>
                <w:sz w:val="19"/>
              </w:rPr>
              <w:t>Contribution to the final report</w:t>
            </w:r>
          </w:p>
        </w:tc>
      </w:tr>
      <w:tr>
        <w:tc>
          <w:tcPr>
            <w:tcW w:type="dxa" w:w="115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File 1</w:t>
            </w:r>
          </w:p>
        </w:tc>
        <w:tc>
          <w:tcPr>
            <w:tcW w:type="dxa" w:w="8136"/>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Portugal opportunity playbook: entry strategy, data fusion, compliance, and go-to-market priorities.</w:t>
            </w:r>
          </w:p>
        </w:tc>
      </w:tr>
      <w:tr>
        <w:tc>
          <w:tcPr>
            <w:tcW w:type="dxa" w:w="115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File 2</w:t>
            </w:r>
          </w:p>
        </w:tc>
        <w:tc>
          <w:tcPr>
            <w:tcW w:type="dxa" w:w="8136"/>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Global horizon scan: market growth, agentic AI shift, and major PropTech categories.</w:t>
            </w:r>
          </w:p>
        </w:tc>
      </w:tr>
      <w:tr>
        <w:tc>
          <w:tcPr>
            <w:tcW w:type="dxa" w:w="115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File 3</w:t>
            </w:r>
          </w:p>
        </w:tc>
        <w:tc>
          <w:tcPr>
            <w:tcW w:type="dxa" w:w="8136"/>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Value deep dive: where AI creates measurable ROI and what the platform must produce.</w:t>
            </w:r>
          </w:p>
        </w:tc>
      </w:tr>
      <w:tr>
        <w:tc>
          <w:tcPr>
            <w:tcW w:type="dxa" w:w="115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File 4</w:t>
            </w:r>
          </w:p>
        </w:tc>
        <w:tc>
          <w:tcPr>
            <w:tcW w:type="dxa" w:w="8136"/>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Portugal adaptation and action plan: market-specific product priorities and rollout sequence.</w:t>
            </w:r>
          </w:p>
        </w:tc>
      </w:tr>
      <w:tr>
        <w:tc>
          <w:tcPr>
            <w:tcW w:type="dxa" w:w="115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File 5</w:t>
            </w:r>
          </w:p>
        </w:tc>
        <w:tc>
          <w:tcPr>
            <w:tcW w:type="dxa" w:w="8136"/>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Portugal market adaptation: location context, foreign-buyer shift, regulation, and KPIs.</w:t>
            </w:r>
          </w:p>
        </w:tc>
      </w:tr>
      <w:tr>
        <w:tc>
          <w:tcPr>
            <w:tcW w:type="dxa" w:w="115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File 6</w:t>
            </w:r>
          </w:p>
        </w:tc>
        <w:tc>
          <w:tcPr>
            <w:tcW w:type="dxa" w:w="8136"/>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Advanced value combinations: how systems combine into durable stacks and moats.</w:t>
            </w:r>
          </w:p>
        </w:tc>
      </w:tr>
      <w:tr>
        <w:tc>
          <w:tcPr>
            <w:tcW w:type="dxa" w:w="115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File 7</w:t>
            </w:r>
          </w:p>
        </w:tc>
        <w:tc>
          <w:tcPr>
            <w:tcW w:type="dxa" w:w="8136"/>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Global foundation report: the industry map, trends, and reference architectures.</w:t>
            </w:r>
          </w:p>
        </w:tc>
      </w:tr>
      <w:tr>
        <w:tc>
          <w:tcPr>
            <w:tcW w:type="dxa" w:w="115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File 8</w:t>
            </w:r>
          </w:p>
        </w:tc>
        <w:tc>
          <w:tcPr>
            <w:tcW w:type="dxa" w:w="8136"/>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OpenClaw deep dive: execution engine, workflows, integrations, and security lessons.</w:t>
            </w:r>
          </w:p>
        </w:tc>
      </w:tr>
      <w:tr>
        <w:tc>
          <w:tcPr>
            <w:tcW w:type="dxa" w:w="115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File 9</w:t>
            </w:r>
          </w:p>
        </w:tc>
        <w:tc>
          <w:tcPr>
            <w:tcW w:type="dxa" w:w="8136"/>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MiroFish deep dive: simulation brain, scenario analysis, and stack synergies.</w:t>
            </w:r>
          </w:p>
        </w:tc>
      </w:tr>
      <w:tr>
        <w:tc>
          <w:tcPr>
            <w:tcW w:type="dxa" w:w="115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File 10</w:t>
            </w:r>
          </w:p>
        </w:tc>
        <w:tc>
          <w:tcPr>
            <w:tcW w:type="dxa" w:w="8136"/>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OpenClaw final operational layer: production-focused workflows and deployment discipline.</w:t>
            </w:r>
          </w:p>
        </w:tc>
      </w:tr>
      <w:tr>
        <w:tc>
          <w:tcPr>
            <w:tcW w:type="dxa" w:w="115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File 11</w:t>
            </w:r>
          </w:p>
        </w:tc>
        <w:tc>
          <w:tcPr>
            <w:tcW w:type="dxa" w:w="8136"/>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Portugal intelligence stack blueprint: OpenClaw + MiroFish + Paperclip unified into one system.</w:t>
            </w:r>
          </w:p>
        </w:tc>
      </w:tr>
    </w:tbl>
    <w:p>
      <w:pPr>
        <w:pStyle w:val="Heading1"/>
        <w:spacing w:before="240" w:after="120" w:line="240" w:lineRule="auto"/>
      </w:pPr>
    </w:p>
    <w:tbl>
      <w:tblPr>
        <w:tblW w:type="auto" w:w="0"/>
        <w:jc w:val="center"/>
        <w:tblLayout w:type="autofit"/>
        <w:tblLook w:firstColumn="1" w:firstRow="1" w:lastColumn="0" w:lastRow="0" w:noHBand="0" w:noVBand="1" w:val="04A0"/>
      </w:tblPr>
      <w:tblGrid>
        <w:gridCol w:w="9936"/>
      </w:tblGrid>
      <w:tr>
        <w:tc>
          <w:tcPr>
            <w:tcW w:type="dxa" w:w="9936"/>
            <w:shd w:fill="F3F7FB"/>
            <w:tcMar>
              <w:top w:w="120" w:type="dxa"/>
              <w:start w:w="140" w:type="dxa"/>
              <w:bottom w:w="120" w:type="dxa"/>
              <w:end w:w="140" w:type="dxa"/>
            </w:tcMar>
          </w:tcPr>
          <w:p>
            <w:pPr>
              <w:spacing w:after="0"/>
            </w:pPr>
            <w:r>
              <w:rPr>
                <w:rFonts w:ascii="Aptos" w:hAnsi="Aptos"/>
                <w:b/>
                <w:i w:val="0"/>
                <w:color w:val="0F3B66"/>
                <w:sz w:val="22"/>
              </w:rPr>
              <w:t>Section Overview</w:t>
              <w:br/>
            </w:r>
            <w:r>
              <w:rPr>
                <w:rFonts w:ascii="Aptos" w:hAnsi="Aptos"/>
                <w:b w:val="0"/>
                <w:i w:val="0"/>
                <w:color w:val="1F1F1F"/>
                <w:sz w:val="21"/>
              </w:rPr>
              <w:t>AURA should be positioned as a real estate intelligence operating system for Portugal, not a one-off AI feature. The final source set makes the strategy unusually coherent: start with bilingual conversational AI because it is the fastest source of revenue and the best match for the market, then use the same data layer to expand into marketing automation, ESG intelligence, valuation, due diligence, and cross-border support. In parallel, use MiroFish to simulate market behavior and OpenClaw to execute actions, while Paperclip organizes the virtual company structure.</w:t>
            </w:r>
          </w:p>
        </w:tc>
      </w:tr>
    </w:tbl>
    <w:p>
      <w:pPr>
        <w:spacing w:after="160" w:before="0" w:line="240" w:lineRule="auto"/>
      </w:pPr>
      <w:r>
        <w:rPr>
          <w:rFonts w:ascii="Aptos" w:hAnsi="Aptos"/>
          <w:b w:val="0"/>
          <w:i w:val="0"/>
          <w:color w:val="1F1F1F"/>
          <w:sz w:val="22"/>
        </w:rPr>
        <w:t>The strongest version of the project is therefore not simply a predictive model or a chatbot. It is a disciplined, explainable, multi-agent decision system that helps users discover opportunities, assess risk, understand context, and act faster than the market. That is the exact intersection of the files, the supervision guidance, and the practical reality of the Portugal market.</w:t>
      </w:r>
    </w:p>
    <w:p>
      <w:pPr>
        <w:spacing w:after="160" w:before="0" w:line="240" w:lineRule="auto"/>
      </w:pPr>
      <w:r>
        <w:rPr>
          <w:rFonts w:ascii="Aptos" w:hAnsi="Aptos"/>
          <w:b w:val="0"/>
          <w:i w:val="0"/>
          <w:color w:val="1F1F1F"/>
          <w:sz w:val="22"/>
        </w:rPr>
        <w:t>What kept the earlier draft from a perfect 10 was not the substance, but the presentation density in a few places: some ideas were repeated across sections, and a few transitions could be made sharper so the strongest points stand out immediately. The final version preserves every important detail while improving flow, reducing repetition, and making the roadmap more explicit in terms of what gets built first, what success looks like at each step, and how the system evolves from prototype to product to platform.</w:t>
      </w:r>
    </w:p>
    <w:p>
      <w:pPr>
        <w:spacing w:after="160" w:before="0" w:line="240" w:lineRule="auto"/>
      </w:pPr>
      <w:r>
        <w:rPr>
          <w:rFonts w:ascii="Aptos" w:hAnsi="Aptos"/>
          <w:b w:val="0"/>
          <w:i w:val="0"/>
          <w:color w:val="1F1F1F"/>
          <w:sz w:val="22"/>
        </w:rPr>
        <w:t>The central principle from all files remains unchanged: build the platform around data fusion, explainable intelligence, and action-oriented workflows. Keep the first product narrow enough to launch quickly, but keep the architecture broad enough to support expansion into a full real estate intelligence operating system. That combination gives the project a strong academic narrative, a credible product path, and a realistic route from prototype to production.</w:t>
      </w:r>
    </w:p>
    <w:p>
      <w:pPr>
        <w:pStyle w:val="Heading1"/>
        <w:spacing w:before="240" w:after="120" w:line="240" w:lineRule="auto"/>
      </w:pPr>
    </w:p>
    <w:tbl>
      <w:tblPr>
        <w:tblW w:type="auto" w:w="0"/>
        <w:jc w:val="center"/>
        <w:tblLayout w:type="autofit"/>
        <w:tblLook w:firstColumn="1" w:firstRow="1" w:lastColumn="0" w:lastRow="0" w:noHBand="0" w:noVBand="1" w:val="04A0"/>
      </w:tblPr>
      <w:tblGrid>
        <w:gridCol w:w="9936"/>
      </w:tblGrid>
      <w:tr>
        <w:tc>
          <w:tcPr>
            <w:tcW w:type="dxa" w:w="9936"/>
            <w:shd w:fill="F3F7FB"/>
            <w:tcMar>
              <w:top w:w="120" w:type="dxa"/>
              <w:start w:w="140" w:type="dxa"/>
              <w:bottom w:w="120" w:type="dxa"/>
              <w:end w:w="140" w:type="dxa"/>
            </w:tcMar>
          </w:tcPr>
          <w:p>
            <w:pPr>
              <w:spacing w:after="0"/>
            </w:pPr>
            <w:r>
              <w:rPr>
                <w:rFonts w:ascii="Aptos" w:hAnsi="Aptos"/>
                <w:b/>
                <w:i w:val="0"/>
                <w:color w:val="0F3B66"/>
                <w:sz w:val="22"/>
              </w:rPr>
              <w:t>Section Overview</w:t>
              <w:br/>
            </w:r>
            <w:r>
              <w:rPr>
                <w:rFonts w:ascii="Aptos" w:hAnsi="Aptos"/>
                <w:b w:val="0"/>
                <w:i w:val="0"/>
                <w:color w:val="1F1F1F"/>
                <w:sz w:val="21"/>
              </w:rPr>
              <w:t>The report is designed to support the transition from analysis to execution. The checklist below turns the blueprint into a concrete delivery sequence.</w:t>
            </w:r>
          </w:p>
        </w:tc>
      </w:tr>
    </w:tbl>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440"/>
            <w:shd w:fill="0F3B66"/>
            <w:tcMar>
              <w:top w:w="100" w:type="dxa"/>
              <w:start w:w="120" w:type="dxa"/>
              <w:bottom w:w="100" w:type="dxa"/>
              <w:end w:w="120" w:type="dxa"/>
            </w:tcMar>
            <w:vAlign w:val="center"/>
          </w:tcPr>
          <w:p>
            <w:pPr>
              <w:jc w:val="center"/>
            </w:pPr>
            <w:r>
              <w:rPr>
                <w:rFonts w:ascii="Aptos" w:hAnsi="Aptos"/>
                <w:b/>
                <w:i w:val="0"/>
                <w:color w:val="FFFFFF"/>
                <w:sz w:val="19"/>
              </w:rPr>
              <w:t>Time horizon</w:t>
            </w:r>
          </w:p>
        </w:tc>
        <w:tc>
          <w:tcPr>
            <w:tcW w:type="dxa" w:w="5472"/>
            <w:shd w:fill="0F3B66"/>
            <w:tcMar>
              <w:top w:w="100" w:type="dxa"/>
              <w:start w:w="120" w:type="dxa"/>
              <w:bottom w:w="100" w:type="dxa"/>
              <w:end w:w="120" w:type="dxa"/>
            </w:tcMar>
            <w:vAlign w:val="center"/>
          </w:tcPr>
          <w:p>
            <w:pPr>
              <w:jc w:val="center"/>
            </w:pPr>
            <w:r>
              <w:rPr>
                <w:rFonts w:ascii="Aptos" w:hAnsi="Aptos"/>
                <w:b/>
                <w:i w:val="0"/>
                <w:color w:val="FFFFFF"/>
                <w:sz w:val="19"/>
              </w:rPr>
              <w:t>Action</w:t>
            </w:r>
          </w:p>
        </w:tc>
        <w:tc>
          <w:tcPr>
            <w:tcW w:type="dxa" w:w="2448"/>
            <w:shd w:fill="0F3B66"/>
            <w:tcMar>
              <w:top w:w="100" w:type="dxa"/>
              <w:start w:w="120" w:type="dxa"/>
              <w:bottom w:w="100" w:type="dxa"/>
              <w:end w:w="120" w:type="dxa"/>
            </w:tcMar>
            <w:vAlign w:val="center"/>
          </w:tcPr>
          <w:p>
            <w:pPr>
              <w:jc w:val="center"/>
            </w:pPr>
            <w:r>
              <w:rPr>
                <w:rFonts w:ascii="Aptos" w:hAnsi="Aptos"/>
                <w:b/>
                <w:i w:val="0"/>
                <w:color w:val="FFFFFF"/>
                <w:sz w:val="19"/>
              </w:rPr>
              <w:t>Expected result</w:t>
            </w:r>
          </w:p>
        </w:tc>
      </w:tr>
      <w:tr>
        <w:tc>
          <w:tcPr>
            <w:tcW w:type="dxa" w:w="1440"/>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Week 1</w:t>
            </w:r>
          </w:p>
        </w:tc>
        <w:tc>
          <w:tcPr>
            <w:tcW w:type="dxa" w:w="547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Set up the data layer, secure the environment, and connect the first messaging channel</w:t>
            </w:r>
          </w:p>
        </w:tc>
        <w:tc>
          <w:tcPr>
            <w:tcW w:type="dxa" w:w="244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A safe base for automation</w:t>
            </w:r>
          </w:p>
        </w:tc>
      </w:tr>
      <w:tr>
        <w:tc>
          <w:tcPr>
            <w:tcW w:type="dxa" w:w="1440"/>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Week 2</w:t>
            </w:r>
          </w:p>
        </w:tc>
        <w:tc>
          <w:tcPr>
            <w:tcW w:type="dxa" w:w="547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Build the bilingual lead assistant and listing ingestion pipeline</w:t>
            </w:r>
          </w:p>
        </w:tc>
        <w:tc>
          <w:tcPr>
            <w:tcW w:type="dxa" w:w="244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First user-facing prototype</w:t>
            </w:r>
          </w:p>
        </w:tc>
      </w:tr>
      <w:tr>
        <w:tc>
          <w:tcPr>
            <w:tcW w:type="dxa" w:w="1440"/>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Weeks 3–4</w:t>
            </w:r>
          </w:p>
        </w:tc>
        <w:tc>
          <w:tcPr>
            <w:tcW w:type="dxa" w:w="547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Add CRM sync, lead qualification, and showings scheduling</w:t>
            </w:r>
          </w:p>
        </w:tc>
        <w:tc>
          <w:tcPr>
            <w:tcW w:type="dxa" w:w="244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A usable conversion engine</w:t>
            </w:r>
          </w:p>
        </w:tc>
      </w:tr>
      <w:tr>
        <w:tc>
          <w:tcPr>
            <w:tcW w:type="dxa" w:w="1440"/>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Weeks 5–6</w:t>
            </w:r>
          </w:p>
        </w:tc>
        <w:tc>
          <w:tcPr>
            <w:tcW w:type="dxa" w:w="5472"/>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Introduce generative marketing and virtual staging</w:t>
            </w:r>
          </w:p>
        </w:tc>
        <w:tc>
          <w:tcPr>
            <w:tcW w:type="dxa" w:w="244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Lower-cost content production</w:t>
            </w:r>
          </w:p>
        </w:tc>
      </w:tr>
      <w:tr>
        <w:tc>
          <w:tcPr>
            <w:tcW w:type="dxa" w:w="1440"/>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Weeks 7–8</w:t>
            </w:r>
          </w:p>
        </w:tc>
        <w:tc>
          <w:tcPr>
            <w:tcW w:type="dxa" w:w="5472"/>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Add valuation, basic compliance, and reporting</w:t>
            </w:r>
          </w:p>
        </w:tc>
        <w:tc>
          <w:tcPr>
            <w:tcW w:type="dxa" w:w="244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A more complete decision assistant</w:t>
            </w:r>
          </w:p>
        </w:tc>
      </w:tr>
      <w:tr>
        <w:tc>
          <w:tcPr>
            <w:tcW w:type="dxa" w:w="1440"/>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Months 3–6</w:t>
            </w:r>
          </w:p>
        </w:tc>
        <w:tc>
          <w:tcPr>
            <w:tcW w:type="dxa" w:w="5472"/>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Pilot with agencies in Lisbon, Porto, and Algarve</w:t>
            </w:r>
          </w:p>
        </w:tc>
        <w:tc>
          <w:tcPr>
            <w:tcW w:type="dxa" w:w="244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Real-world validation and feedback</w:t>
            </w:r>
          </w:p>
        </w:tc>
      </w:tr>
      <w:tr>
        <w:tc>
          <w:tcPr>
            <w:tcW w:type="dxa" w:w="1440"/>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Months 6–12</w:t>
            </w:r>
          </w:p>
        </w:tc>
        <w:tc>
          <w:tcPr>
            <w:tcW w:type="dxa" w:w="5472"/>
            <w:tcMar>
              <w:top w:w="90" w:type="dxa"/>
              <w:start w:w="110" w:type="dxa"/>
              <w:bottom w:w="90" w:type="dxa"/>
              <w:end w:w="110" w:type="dxa"/>
            </w:tcMar>
            <w:vAlign w:val="center"/>
          </w:tcPr>
          <w:p>
            <w:pPr>
              <w:spacing w:after="0" w:before="0" w:line="240" w:lineRule="auto"/>
              <w:jc w:val="left"/>
            </w:pPr>
            <w:r>
              <w:rPr>
                <w:rFonts w:ascii="Aptos" w:hAnsi="Aptos"/>
                <w:b w:val="0"/>
                <w:i w:val="0"/>
                <w:color w:val="1F1F1F"/>
                <w:sz w:val="19"/>
              </w:rPr>
              <w:t>Expand into ESG, due diligence, and cross-border support</w:t>
            </w:r>
          </w:p>
        </w:tc>
        <w:tc>
          <w:tcPr>
            <w:tcW w:type="dxa" w:w="2448"/>
            <w:tcMar>
              <w:top w:w="90" w:type="dxa"/>
              <w:start w:w="110" w:type="dxa"/>
              <w:bottom w:w="90" w:type="dxa"/>
              <w:end w:w="110" w:type="dxa"/>
            </w:tcMar>
            <w:vAlign w:val="center"/>
          </w:tcPr>
          <w:p>
            <w:pPr>
              <w:spacing w:after="0" w:before="0" w:line="240" w:lineRule="auto"/>
              <w:jc w:val="center"/>
            </w:pPr>
            <w:r>
              <w:rPr>
                <w:rFonts w:ascii="Aptos" w:hAnsi="Aptos"/>
                <w:b w:val="0"/>
                <w:i w:val="0"/>
                <w:color w:val="1F1F1F"/>
                <w:sz w:val="19"/>
              </w:rPr>
              <w:t>Platform depth and differentiation</w:t>
            </w:r>
          </w:p>
        </w:tc>
      </w:tr>
    </w:tbl>
    <w:p>
      <w:pPr>
        <w:pStyle w:val="Heading2"/>
        <w:spacing w:before="160" w:after="80" w:line="240" w:lineRule="auto"/>
      </w:pPr>
    </w:p>
    <w:p>
      <w:pPr>
        <w:spacing w:after="120" w:before="0" w:line="240" w:lineRule="auto"/>
      </w:pPr>
      <w:r>
        <w:rPr>
          <w:rFonts w:ascii="Aptos" w:hAnsi="Aptos"/>
          <w:b w:val="0"/>
          <w:i w:val="0"/>
          <w:color w:val="1F1F1F"/>
          <w:sz w:val="22"/>
        </w:rPr>
        <w:t>Keep the product narrow at first, but keep the architecture broad. The narrow product is bilingual conversational AI. The broad architecture is the full AURA operating system: data fusion, simulation, execution, orchestration, and governance. That combination gives the project a credible academic narrative and a practical product path.</w:t>
      </w:r>
    </w:p>
    <w:p>
      <w:pPr>
        <w:spacing w:after="120" w:before="0" w:line="240" w:lineRule="auto"/>
      </w:pPr>
      <w:r>
        <w:rPr>
          <w:rFonts w:ascii="Aptos" w:hAnsi="Aptos"/>
          <w:b w:val="0"/>
          <w:i w:val="0"/>
          <w:color w:val="1F1F1F"/>
          <w:sz w:val="22"/>
        </w:rPr>
        <w:t>The central principle from all files remains unchanged: revenue first, complexity later, but never at the expense of explainability, compliance, or data quality.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color w:val="666666"/>
        <w:sz w:val="17"/>
      </w:rPr>
      <w:t>AURA v2 Master Strategic Blueprint  |  Confidential Working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3B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F3B6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F3B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