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ind w:firstLine="48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ind w:firstLine="480"/>
      </w:pPr>
      <w:r>
        <w:t>页脚自动添加了页码</w:t>
      </w:r>
    </w:p>
    <w:p w14:paraId="614BF977" w14:textId="423DB92C" w:rsidR="00CF4FF7" w:rsidRDefault="00CF4FF7">
      <w:pPr>
        <w:pStyle w:val="a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ind w:firstLine="480"/>
      </w:pPr>
      <w:r>
        <w:fldChar w:fldCharType="end"/>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lastRenderedPageBreak/>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lastRenderedPageBreak/>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rsidP="00B83D7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ind w:firstLine="48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ind w:firstLine="48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557BED">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ind w:firstLine="48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823DB" w14:textId="77777777" w:rsidR="00AF2D14" w:rsidRDefault="00AF2D14">
      <w:pPr>
        <w:spacing w:line="240" w:lineRule="auto"/>
      </w:pPr>
      <w:r>
        <w:separator/>
      </w:r>
    </w:p>
  </w:endnote>
  <w:endnote w:type="continuationSeparator" w:id="0">
    <w:p w14:paraId="40F31D47" w14:textId="77777777" w:rsidR="00AF2D14" w:rsidRDefault="00AF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70508" w14:textId="77777777" w:rsidR="00AF2D14" w:rsidRDefault="00AF2D14">
      <w:r>
        <w:separator/>
      </w:r>
    </w:p>
  </w:footnote>
  <w:footnote w:type="continuationSeparator" w:id="0">
    <w:p w14:paraId="131D6720" w14:textId="77777777" w:rsidR="00AF2D14" w:rsidRDefault="00AF2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25AF3"/>
    <w:rsid w:val="00037041"/>
    <w:rsid w:val="000D0869"/>
    <w:rsid w:val="0017734A"/>
    <w:rsid w:val="001E7C5D"/>
    <w:rsid w:val="002171B9"/>
    <w:rsid w:val="00223A01"/>
    <w:rsid w:val="002303D0"/>
    <w:rsid w:val="002F0528"/>
    <w:rsid w:val="00557BED"/>
    <w:rsid w:val="005A27B5"/>
    <w:rsid w:val="005F5DF6"/>
    <w:rsid w:val="00682363"/>
    <w:rsid w:val="00762BC1"/>
    <w:rsid w:val="008A45B4"/>
    <w:rsid w:val="009149B5"/>
    <w:rsid w:val="00970C9D"/>
    <w:rsid w:val="00A1496D"/>
    <w:rsid w:val="00A14FF3"/>
    <w:rsid w:val="00AF2D14"/>
    <w:rsid w:val="00B83D7A"/>
    <w:rsid w:val="00BF6B73"/>
    <w:rsid w:val="00C214C8"/>
    <w:rsid w:val="00C61475"/>
    <w:rsid w:val="00CE4C1F"/>
    <w:rsid w:val="00CF4FF7"/>
    <w:rsid w:val="00E1645B"/>
    <w:rsid w:val="00F0209C"/>
    <w:rsid w:val="00F4151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CF4FF7"/>
    <w:pPr>
      <w:ind w:firstLine="200"/>
    </w:pPr>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037041"/>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B83D7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5A27B5"/>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5A27B5"/>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CF4FF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632</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20</cp:revision>
  <dcterms:created xsi:type="dcterms:W3CDTF">2023-12-15T02:40:00Z</dcterms:created>
  <dcterms:modified xsi:type="dcterms:W3CDTF">2025-06-05T03:03:00Z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