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A6AB5" w:rsidRDefault="00E91FBE">
      <w:pPr>
        <w:spacing w:after="40"/>
        <w:jc w:val="center"/>
      </w:pPr>
      <w:r>
        <w:rPr>
          <w:b/>
          <w:bCs/>
          <w:color w:val="444444"/>
        </w:rPr>
        <w:t>PROJECT DOCUMENTATION</w:t>
      </w:r>
    </w:p>
    <w:p w:rsidR="00FA6AB5" w:rsidRPr="00B81227" w:rsidRDefault="00B81227" w:rsidP="00B81227">
      <w:pPr>
        <w:jc w:val="center"/>
        <w:rPr>
          <w:sz w:val="24"/>
          <w:szCs w:val="24"/>
          <w:lang w:val="en-US"/>
        </w:rPr>
      </w:pPr>
      <w:r w:rsidRPr="00B81227">
        <w:rPr>
          <w:b/>
          <w:bCs/>
          <w:color w:val="385623" w:themeColor="accent6" w:themeShade="80"/>
          <w:sz w:val="32"/>
          <w:szCs w:val="32"/>
        </w:rPr>
        <w:t xml:space="preserve">AI-Powered Cattle Grazing Route Optimization and Pasture Suitability </w:t>
      </w:r>
      <w:proofErr w:type="spellStart"/>
      <w:r w:rsidRPr="00B81227">
        <w:rPr>
          <w:b/>
          <w:bCs/>
          <w:color w:val="385623" w:themeColor="accent6" w:themeShade="80"/>
          <w:sz w:val="32"/>
          <w:szCs w:val="32"/>
        </w:rPr>
        <w:t>Syste</w:t>
      </w:r>
      <w:proofErr w:type="spellEnd"/>
      <w:r>
        <w:rPr>
          <w:b/>
          <w:bCs/>
          <w:color w:val="385623" w:themeColor="accent6" w:themeShade="80"/>
          <w:sz w:val="32"/>
          <w:szCs w:val="32"/>
          <w:lang w:val="en-US"/>
        </w:rPr>
        <w:t>m.</w:t>
      </w:r>
    </w:p>
    <w:p w:rsidR="00FA6AB5" w:rsidRPr="00B81227" w:rsidRDefault="00E91FBE">
      <w:pPr>
        <w:spacing w:after="200"/>
        <w:jc w:val="center"/>
        <w:rPr>
          <w:sz w:val="24"/>
          <w:szCs w:val="24"/>
        </w:rPr>
      </w:pPr>
      <w:r w:rsidRPr="00B81227">
        <w:rPr>
          <w:i/>
          <w:iCs/>
          <w:color w:val="444444"/>
          <w:sz w:val="24"/>
          <w:szCs w:val="24"/>
        </w:rPr>
        <w:t>Dynamic Pasture Suitability Mapping and Grazing Route Optimization for the Adamawa Region, Cameroon</w:t>
      </w:r>
    </w:p>
    <w:p w:rsidR="00FA6AB5" w:rsidRDefault="00E91FBE">
      <w:pPr>
        <w:pStyle w:val="Heading1"/>
        <w:pBdr>
          <w:bottom w:val="single" w:sz="6" w:space="4" w:color="1E5631"/>
        </w:pBdr>
        <w:spacing w:before="240" w:after="110"/>
      </w:pPr>
      <w:r>
        <w:rPr>
          <w:b/>
          <w:bCs/>
          <w:color w:val="1E5631"/>
          <w:sz w:val="25"/>
          <w:szCs w:val="25"/>
        </w:rPr>
        <w:t>1. Introduction and Problem Statement</w:t>
      </w:r>
    </w:p>
    <w:p w:rsidR="00FA6AB5" w:rsidRPr="00B81227" w:rsidRDefault="00E91FBE">
      <w:pPr>
        <w:spacing w:after="95" w:line="276" w:lineRule="auto"/>
        <w:rPr>
          <w:sz w:val="24"/>
          <w:szCs w:val="24"/>
        </w:rPr>
      </w:pPr>
      <w:r w:rsidRPr="00B81227">
        <w:rPr>
          <w:sz w:val="24"/>
          <w:szCs w:val="24"/>
        </w:rPr>
        <w:t>Transhumant pastoralism — the seasonal movement of cattle, sheep, goats, camels, horses, and donkeys between grazing areas — is central to the rural economy of Adamawa, Cameroon. For generations, herders have relied on inherited local knowledge to decide w</w:t>
      </w:r>
      <w:r w:rsidRPr="00B81227">
        <w:rPr>
          <w:sz w:val="24"/>
          <w:szCs w:val="24"/>
        </w:rPr>
        <w:t xml:space="preserve">here and when to move their livestock. This traditional approach carries three growing risks. First, it cannot account for year-to-year variability in rainfall and vegetation, including drought years that silently reduce a region's carrying capacity below </w:t>
      </w:r>
      <w:r w:rsidRPr="00B81227">
        <w:rPr>
          <w:sz w:val="24"/>
          <w:szCs w:val="24"/>
        </w:rPr>
        <w:t>what a herder might expect. Second, it offers no systematic way to estimate how many animals a given area can sustainably support before pasture degradation begins — herds are often moved based on visible grass cover alone, without knowledge of the underly</w:t>
      </w:r>
      <w:r w:rsidRPr="00B81227">
        <w:rPr>
          <w:sz w:val="24"/>
          <w:szCs w:val="24"/>
        </w:rPr>
        <w:t>ing biomass or how quickly it will be depleted. Third, it provides no structured way to plan a safe travel route: herders may unknowingly cross cropland (triggering conflict with farmers), traverse dangerously steep terrain, or take an inefficient path tha</w:t>
      </w:r>
      <w:r w:rsidRPr="00B81227">
        <w:rPr>
          <w:sz w:val="24"/>
          <w:szCs w:val="24"/>
        </w:rPr>
        <w:t>t leaves both people and animals more exposed than necessary.</w:t>
      </w:r>
    </w:p>
    <w:p w:rsidR="00FA6AB5" w:rsidRPr="00B81227" w:rsidRDefault="00E91FBE">
      <w:pPr>
        <w:spacing w:after="95" w:line="276" w:lineRule="auto"/>
        <w:rPr>
          <w:sz w:val="24"/>
          <w:szCs w:val="24"/>
        </w:rPr>
      </w:pPr>
      <w:r w:rsidRPr="00B81227">
        <w:rPr>
          <w:sz w:val="24"/>
          <w:szCs w:val="24"/>
        </w:rPr>
        <w:t>These risks are compounded by the scale of the region — Adamawa covers roughly 64,000 km² — which makes comprehensive field-based monitoring impractical. At the same time, free satellite data an</w:t>
      </w:r>
      <w:r w:rsidRPr="00B81227">
        <w:rPr>
          <w:sz w:val="24"/>
          <w:szCs w:val="24"/>
        </w:rPr>
        <w:t>d open-source geospatial tools have matured to the point where a data-driven alternative is genuinely achievable, without requiring a herder to have any technical background.</w:t>
      </w:r>
    </w:p>
    <w:p w:rsidR="00FA6AB5" w:rsidRPr="00B81227" w:rsidRDefault="00E91FBE">
      <w:pPr>
        <w:spacing w:after="95" w:line="276" w:lineRule="auto"/>
        <w:rPr>
          <w:sz w:val="24"/>
          <w:szCs w:val="24"/>
        </w:rPr>
      </w:pPr>
      <w:r w:rsidRPr="00B81227">
        <w:rPr>
          <w:sz w:val="24"/>
          <w:szCs w:val="24"/>
        </w:rPr>
        <w:t>This project addresses that gap directly. It builds a complete, end-to-end system</w:t>
      </w:r>
      <w:r w:rsidRPr="00B81227">
        <w:rPr>
          <w:sz w:val="24"/>
          <w:szCs w:val="24"/>
        </w:rPr>
        <w:t xml:space="preserve"> that determines where suitable grazing land exists, how many animals of a given species it can sustainably support in a given month, and the safest, most efficient route to reach it — all delivered through a simple, GPS-enabled map interface that runs on </w:t>
      </w:r>
      <w:r w:rsidRPr="00B81227">
        <w:rPr>
          <w:sz w:val="24"/>
          <w:szCs w:val="24"/>
        </w:rPr>
        <w:t>an ordinary smartphone browser.</w:t>
      </w:r>
    </w:p>
    <w:p w:rsidR="00FA6AB5" w:rsidRDefault="00E91FBE">
      <w:pPr>
        <w:pStyle w:val="Heading1"/>
        <w:pBdr>
          <w:bottom w:val="single" w:sz="6" w:space="4" w:color="1E5631"/>
        </w:pBdr>
        <w:spacing w:before="240" w:after="110"/>
      </w:pPr>
      <w:r>
        <w:rPr>
          <w:b/>
          <w:bCs/>
          <w:color w:val="1E5631"/>
          <w:sz w:val="25"/>
          <w:szCs w:val="25"/>
        </w:rPr>
        <w:t>2. Project Objectives</w:t>
      </w:r>
    </w:p>
    <w:p w:rsidR="00FA6AB5" w:rsidRPr="00B81227" w:rsidRDefault="00E91FBE">
      <w:pPr>
        <w:pStyle w:val="ListParagraph"/>
        <w:numPr>
          <w:ilvl w:val="0"/>
          <w:numId w:val="2"/>
        </w:numPr>
        <w:spacing w:after="35" w:line="264" w:lineRule="auto"/>
        <w:rPr>
          <w:sz w:val="24"/>
          <w:szCs w:val="24"/>
        </w:rPr>
      </w:pPr>
      <w:r w:rsidRPr="00B81227">
        <w:rPr>
          <w:sz w:val="24"/>
          <w:szCs w:val="24"/>
        </w:rPr>
        <w:t>Acquire and process ten years (2016–2025) of satellite-derived vegetation, rainfall, terrain, land-cover, water, and population data for the Adamawa Region.</w:t>
      </w:r>
    </w:p>
    <w:p w:rsidR="00FA6AB5" w:rsidRPr="00B81227" w:rsidRDefault="00E91FBE">
      <w:pPr>
        <w:pStyle w:val="ListParagraph"/>
        <w:numPr>
          <w:ilvl w:val="0"/>
          <w:numId w:val="2"/>
        </w:numPr>
        <w:spacing w:after="35" w:line="264" w:lineRule="auto"/>
        <w:rPr>
          <w:sz w:val="24"/>
          <w:szCs w:val="24"/>
        </w:rPr>
      </w:pPr>
      <w:r w:rsidRPr="00B81227">
        <w:rPr>
          <w:sz w:val="24"/>
          <w:szCs w:val="24"/>
        </w:rPr>
        <w:t>Estimate monthly forage biomass and translate</w:t>
      </w:r>
      <w:r w:rsidRPr="00B81227">
        <w:rPr>
          <w:sz w:val="24"/>
          <w:szCs w:val="24"/>
        </w:rPr>
        <w:t xml:space="preserve"> it into a defensible pasture suitability score.</w:t>
      </w:r>
    </w:p>
    <w:p w:rsidR="00FA6AB5" w:rsidRPr="00B81227" w:rsidRDefault="00E91FBE">
      <w:pPr>
        <w:pStyle w:val="ListParagraph"/>
        <w:numPr>
          <w:ilvl w:val="0"/>
          <w:numId w:val="2"/>
        </w:numPr>
        <w:spacing w:after="35" w:line="264" w:lineRule="auto"/>
        <w:rPr>
          <w:sz w:val="24"/>
          <w:szCs w:val="24"/>
        </w:rPr>
      </w:pPr>
      <w:r w:rsidRPr="00B81227">
        <w:rPr>
          <w:sz w:val="24"/>
          <w:szCs w:val="24"/>
        </w:rPr>
        <w:t>Delineate discrete, usable grazing zones and classify each by suitability and seasonal carrying capacity.</w:t>
      </w:r>
    </w:p>
    <w:p w:rsidR="00FA6AB5" w:rsidRPr="00B81227" w:rsidRDefault="00E91FBE">
      <w:pPr>
        <w:pStyle w:val="ListParagraph"/>
        <w:numPr>
          <w:ilvl w:val="0"/>
          <w:numId w:val="2"/>
        </w:numPr>
        <w:spacing w:after="35" w:line="264" w:lineRule="auto"/>
        <w:rPr>
          <w:sz w:val="24"/>
          <w:szCs w:val="24"/>
        </w:rPr>
      </w:pPr>
      <w:r w:rsidRPr="00B81227">
        <w:rPr>
          <w:sz w:val="24"/>
          <w:szCs w:val="24"/>
        </w:rPr>
        <w:t>Build a carrying-capacity engine capable of answering — for any herd size, livestock species, and mon</w:t>
      </w:r>
      <w:r w:rsidRPr="00B81227">
        <w:rPr>
          <w:sz w:val="24"/>
          <w:szCs w:val="24"/>
        </w:rPr>
        <w:t>th — which zones can sustainably support that herd.</w:t>
      </w:r>
    </w:p>
    <w:p w:rsidR="00FA6AB5" w:rsidRPr="00B81227" w:rsidRDefault="00E91FBE">
      <w:pPr>
        <w:pStyle w:val="ListParagraph"/>
        <w:numPr>
          <w:ilvl w:val="0"/>
          <w:numId w:val="2"/>
        </w:numPr>
        <w:spacing w:after="35" w:line="264" w:lineRule="auto"/>
        <w:rPr>
          <w:sz w:val="24"/>
          <w:szCs w:val="24"/>
        </w:rPr>
      </w:pPr>
      <w:r w:rsidRPr="00B81227">
        <w:rPr>
          <w:sz w:val="24"/>
          <w:szCs w:val="24"/>
        </w:rPr>
        <w:t>Construct a cost-aware routing engine that identifies safe, efficient travel paths while avoiding cropland, settlements, and hazardous terrain.</w:t>
      </w:r>
    </w:p>
    <w:p w:rsidR="00FA6AB5" w:rsidRPr="00B81227" w:rsidRDefault="00E91FBE">
      <w:pPr>
        <w:pStyle w:val="ListParagraph"/>
        <w:numPr>
          <w:ilvl w:val="0"/>
          <w:numId w:val="2"/>
        </w:numPr>
        <w:spacing w:after="35" w:line="264" w:lineRule="auto"/>
        <w:rPr>
          <w:sz w:val="24"/>
          <w:szCs w:val="24"/>
        </w:rPr>
      </w:pPr>
      <w:r w:rsidRPr="00B81227">
        <w:rPr>
          <w:sz w:val="24"/>
          <w:szCs w:val="24"/>
        </w:rPr>
        <w:t>Forecast near-term biomass trends using machine learning, so</w:t>
      </w:r>
      <w:r w:rsidRPr="00B81227">
        <w:rPr>
          <w:sz w:val="24"/>
          <w:szCs w:val="24"/>
        </w:rPr>
        <w:t xml:space="preserve"> the system can anticipate changing conditions rather than only react to historical averages.</w:t>
      </w:r>
    </w:p>
    <w:p w:rsidR="00FA6AB5" w:rsidRDefault="00E91FBE">
      <w:pPr>
        <w:pStyle w:val="ListParagraph"/>
        <w:numPr>
          <w:ilvl w:val="0"/>
          <w:numId w:val="2"/>
        </w:numPr>
        <w:spacing w:after="35" w:line="264" w:lineRule="auto"/>
        <w:rPr>
          <w:sz w:val="24"/>
          <w:szCs w:val="24"/>
        </w:rPr>
      </w:pPr>
      <w:r w:rsidRPr="00B81227">
        <w:rPr>
          <w:sz w:val="24"/>
          <w:szCs w:val="24"/>
        </w:rPr>
        <w:t>Deliver the complete system through an accessible, mobile-responsive, offline-capable web application.</w:t>
      </w:r>
    </w:p>
    <w:p w:rsidR="00970D98" w:rsidRDefault="00970D98" w:rsidP="00970D98">
      <w:pPr>
        <w:spacing w:after="35" w:line="264" w:lineRule="auto"/>
        <w:rPr>
          <w:sz w:val="24"/>
          <w:szCs w:val="24"/>
        </w:rPr>
      </w:pPr>
    </w:p>
    <w:p w:rsidR="00970D98" w:rsidRDefault="00970D98" w:rsidP="00970D98">
      <w:pPr>
        <w:spacing w:after="35" w:line="264" w:lineRule="auto"/>
        <w:rPr>
          <w:sz w:val="24"/>
          <w:szCs w:val="24"/>
        </w:rPr>
      </w:pPr>
    </w:p>
    <w:p w:rsidR="00970D98" w:rsidRDefault="00970D98" w:rsidP="00970D98">
      <w:pPr>
        <w:spacing w:after="35" w:line="264" w:lineRule="auto"/>
        <w:rPr>
          <w:sz w:val="24"/>
          <w:szCs w:val="24"/>
        </w:rPr>
      </w:pPr>
    </w:p>
    <w:p w:rsidR="00970D98" w:rsidRPr="00970D98" w:rsidRDefault="00970D98" w:rsidP="00970D98">
      <w:pPr>
        <w:spacing w:after="35" w:line="264" w:lineRule="auto"/>
        <w:rPr>
          <w:sz w:val="24"/>
          <w:szCs w:val="24"/>
        </w:rPr>
      </w:pPr>
    </w:p>
    <w:p w:rsidR="00FA6AB5" w:rsidRDefault="00E91FBE">
      <w:pPr>
        <w:pStyle w:val="Heading1"/>
        <w:pBdr>
          <w:bottom w:val="single" w:sz="6" w:space="4" w:color="1E5631"/>
        </w:pBdr>
        <w:spacing w:before="240" w:after="110"/>
      </w:pPr>
      <w:r>
        <w:rPr>
          <w:b/>
          <w:bCs/>
          <w:color w:val="1E5631"/>
          <w:sz w:val="25"/>
          <w:szCs w:val="25"/>
        </w:rPr>
        <w:lastRenderedPageBreak/>
        <w:t>3</w:t>
      </w:r>
      <w:r>
        <w:rPr>
          <w:b/>
          <w:bCs/>
          <w:color w:val="1E5631"/>
          <w:sz w:val="25"/>
          <w:szCs w:val="25"/>
        </w:rPr>
        <w:t>. Solution Overview</w:t>
      </w:r>
    </w:p>
    <w:p w:rsidR="00FA6AB5" w:rsidRPr="00B81227" w:rsidRDefault="00E91FBE">
      <w:pPr>
        <w:spacing w:after="95" w:line="276" w:lineRule="auto"/>
        <w:rPr>
          <w:sz w:val="24"/>
          <w:szCs w:val="24"/>
        </w:rPr>
      </w:pPr>
      <w:r w:rsidRPr="00B81227">
        <w:rPr>
          <w:sz w:val="24"/>
          <w:szCs w:val="24"/>
        </w:rPr>
        <w:t>The solution is delivered as an integr</w:t>
      </w:r>
      <w:r w:rsidRPr="00B81227">
        <w:rPr>
          <w:sz w:val="24"/>
          <w:szCs w:val="24"/>
        </w:rPr>
        <w:t xml:space="preserve">ated pipeline spanning two connected environments. A Google </w:t>
      </w:r>
      <w:proofErr w:type="spellStart"/>
      <w:r w:rsidRPr="00B81227">
        <w:rPr>
          <w:sz w:val="24"/>
          <w:szCs w:val="24"/>
        </w:rPr>
        <w:t>Colab</w:t>
      </w:r>
      <w:proofErr w:type="spellEnd"/>
      <w:r w:rsidRPr="00B81227">
        <w:rPr>
          <w:sz w:val="24"/>
          <w:szCs w:val="24"/>
        </w:rPr>
        <w:t xml:space="preserve"> notebook performs the full data-science workload: satellite data acquisition, </w:t>
      </w:r>
      <w:proofErr w:type="spellStart"/>
      <w:r w:rsidRPr="00B81227">
        <w:rPr>
          <w:sz w:val="24"/>
          <w:szCs w:val="24"/>
        </w:rPr>
        <w:t>preprocessing</w:t>
      </w:r>
      <w:proofErr w:type="spellEnd"/>
      <w:r w:rsidRPr="00B81227">
        <w:rPr>
          <w:sz w:val="24"/>
          <w:szCs w:val="24"/>
        </w:rPr>
        <w:t xml:space="preserve">, biomass and suitability modelling, zone delineation, carrying-capacity calculation, cost-surface </w:t>
      </w:r>
      <w:r w:rsidRPr="00B81227">
        <w:rPr>
          <w:sz w:val="24"/>
          <w:szCs w:val="24"/>
        </w:rPr>
        <w:t>construction, and machine-learning model training. A Django web application then serves the processed outputs of that pipeline to end users through a REST API and an interactive Leaflet.js map interface. The two environments are connected only by a one-tim</w:t>
      </w:r>
      <w:r w:rsidRPr="00B81227">
        <w:rPr>
          <w:sz w:val="24"/>
          <w:szCs w:val="24"/>
        </w:rPr>
        <w:t>e transfer of processed data files; there is no live link between them, which keeps the deployed web application lightweight and independent of the heavier geospatial/ML processing tools used to build its underlying data.</w:t>
      </w:r>
    </w:p>
    <w:p w:rsidR="00FA6AB5" w:rsidRPr="00B81227" w:rsidRDefault="00E91FBE">
      <w:pPr>
        <w:spacing w:after="95" w:line="276" w:lineRule="auto"/>
        <w:rPr>
          <w:sz w:val="24"/>
          <w:szCs w:val="24"/>
        </w:rPr>
      </w:pPr>
      <w:r w:rsidRPr="00B81227">
        <w:rPr>
          <w:sz w:val="24"/>
          <w:szCs w:val="24"/>
        </w:rPr>
        <w:t>At runtime, a herder opens the web</w:t>
      </w:r>
      <w:r w:rsidRPr="00B81227">
        <w:rPr>
          <w:sz w:val="24"/>
          <w:szCs w:val="24"/>
        </w:rPr>
        <w:t xml:space="preserve"> application, sets their location using GPS or a map tap, enters their herd size, species, and the current month (auto-detected from their device but editable), and receives: the single nearest grazing zone capable of sustaining their herd that month, mult</w:t>
      </w:r>
      <w:r w:rsidRPr="00B81227">
        <w:rPr>
          <w:sz w:val="24"/>
          <w:szCs w:val="24"/>
        </w:rPr>
        <w:t>iple alternative travel routes to that zone with the lowest-cost route highlighted, nearby minor pasture patches and water points along the route corridor, and full zone details including estimated biomass, water proximity, and seasonal capacity calendar.</w:t>
      </w:r>
    </w:p>
    <w:p w:rsidR="00FA6AB5" w:rsidRDefault="00E91FBE">
      <w:pPr>
        <w:pStyle w:val="Heading1"/>
        <w:pBdr>
          <w:bottom w:val="single" w:sz="6" w:space="4" w:color="1E5631"/>
        </w:pBdr>
        <w:spacing w:before="240" w:after="110"/>
      </w:pPr>
      <w:r>
        <w:rPr>
          <w:b/>
          <w:bCs/>
          <w:color w:val="1E5631"/>
          <w:sz w:val="25"/>
          <w:szCs w:val="25"/>
        </w:rPr>
        <w:t>4. System Architecture</w:t>
      </w:r>
    </w:p>
    <w:p w:rsidR="00FA6AB5" w:rsidRPr="00B81227" w:rsidRDefault="00E91FBE">
      <w:pPr>
        <w:spacing w:after="95" w:line="276" w:lineRule="auto"/>
        <w:rPr>
          <w:sz w:val="24"/>
          <w:szCs w:val="24"/>
        </w:rPr>
      </w:pPr>
      <w:r w:rsidRPr="00B81227">
        <w:rPr>
          <w:sz w:val="24"/>
          <w:szCs w:val="24"/>
        </w:rPr>
        <w:t xml:space="preserve">Data flows through the system in a single, well-defined pipeline: raw satellite and administrative datasets are acquired and </w:t>
      </w:r>
      <w:proofErr w:type="spellStart"/>
      <w:r w:rsidRPr="00B81227">
        <w:rPr>
          <w:sz w:val="24"/>
          <w:szCs w:val="24"/>
        </w:rPr>
        <w:t>preprocessed</w:t>
      </w:r>
      <w:proofErr w:type="spellEnd"/>
      <w:r w:rsidRPr="00B81227">
        <w:rPr>
          <w:sz w:val="24"/>
          <w:szCs w:val="24"/>
        </w:rPr>
        <w:t xml:space="preserve"> into a common analysis grid; biomass and suitability are computed from that grid; suitable area</w:t>
      </w:r>
      <w:r w:rsidRPr="00B81227">
        <w:rPr>
          <w:sz w:val="24"/>
          <w:szCs w:val="24"/>
        </w:rPr>
        <w:t>s are delineated into discrete zones; each zone</w:t>
      </w:r>
      <w:r w:rsidRPr="00B81227">
        <w:rPr>
          <w:sz w:val="24"/>
          <w:szCs w:val="24"/>
        </w:rPr>
        <w:t>'</w:t>
      </w:r>
      <w:r w:rsidRPr="00B81227">
        <w:rPr>
          <w:sz w:val="24"/>
          <w:szCs w:val="24"/>
        </w:rPr>
        <w:t>s monthly carrying capacity is calculated; a cost surface combining terrain, water, roads, and land-use barriers is built; that surface is converted into a navigable graph and solved for optimal routes; a sep</w:t>
      </w:r>
      <w:r w:rsidRPr="00B81227">
        <w:rPr>
          <w:sz w:val="24"/>
          <w:szCs w:val="24"/>
        </w:rPr>
        <w:t>arate machine-learning branch forecasts near-term biomass; and finally, a Django backend loads all of this into memory and exposes it through an API consumed by the Leaflet.js frontend.</w:t>
      </w:r>
    </w:p>
    <w:p w:rsidR="00FA6AB5" w:rsidRPr="00B81227" w:rsidRDefault="00E91FBE">
      <w:pPr>
        <w:pStyle w:val="Heading2"/>
        <w:spacing w:before="160" w:after="70"/>
        <w:rPr>
          <w:sz w:val="22"/>
          <w:szCs w:val="22"/>
        </w:rPr>
      </w:pPr>
      <w:r>
        <w:rPr>
          <w:b/>
          <w:bCs/>
          <w:color w:val="1E5631"/>
          <w:sz w:val="21"/>
          <w:szCs w:val="21"/>
        </w:rPr>
        <w:t xml:space="preserve">4.1 </w:t>
      </w:r>
      <w:r w:rsidRPr="00B81227">
        <w:rPr>
          <w:b/>
          <w:bCs/>
          <w:color w:val="1E5631"/>
          <w:sz w:val="22"/>
          <w:szCs w:val="22"/>
        </w:rPr>
        <w:t>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6927"/>
      </w:tblGrid>
      <w:tr w:rsidR="00FA6AB5">
        <w:tblPrEx>
          <w:tblCellMar>
            <w:top w:w="0" w:type="dxa"/>
            <w:bottom w:w="0" w:type="dxa"/>
          </w:tblCellMar>
        </w:tblPrEx>
        <w:tc>
          <w:tcPr>
            <w:tcW w:w="1500" w:type="pct"/>
            <w:shd w:val="clear" w:color="auto" w:fill="1E5631"/>
            <w:tcMar>
              <w:top w:w="60" w:type="dxa"/>
              <w:left w:w="100" w:type="dxa"/>
              <w:bottom w:w="60" w:type="dxa"/>
              <w:right w:w="100" w:type="dxa"/>
            </w:tcMar>
            <w:vAlign w:val="center"/>
          </w:tcPr>
          <w:p w:rsidR="00FA6AB5" w:rsidRPr="00B81227" w:rsidRDefault="00E91FBE">
            <w:pPr>
              <w:rPr>
                <w:sz w:val="22"/>
                <w:szCs w:val="22"/>
              </w:rPr>
            </w:pPr>
            <w:r w:rsidRPr="00B81227">
              <w:rPr>
                <w:b/>
                <w:bCs/>
                <w:color w:val="FFFFFF"/>
                <w:sz w:val="22"/>
                <w:szCs w:val="22"/>
              </w:rPr>
              <w:t>Layer</w:t>
            </w:r>
          </w:p>
        </w:tc>
        <w:tc>
          <w:tcPr>
            <w:tcW w:w="3500" w:type="pct"/>
            <w:shd w:val="clear" w:color="auto" w:fill="1E5631"/>
            <w:tcMar>
              <w:top w:w="60" w:type="dxa"/>
              <w:left w:w="100" w:type="dxa"/>
              <w:bottom w:w="60" w:type="dxa"/>
              <w:right w:w="100" w:type="dxa"/>
            </w:tcMar>
            <w:vAlign w:val="center"/>
          </w:tcPr>
          <w:p w:rsidR="00FA6AB5" w:rsidRPr="00B81227" w:rsidRDefault="00E91FBE">
            <w:pPr>
              <w:rPr>
                <w:sz w:val="22"/>
                <w:szCs w:val="22"/>
              </w:rPr>
            </w:pPr>
            <w:r w:rsidRPr="00B81227">
              <w:rPr>
                <w:b/>
                <w:bCs/>
                <w:color w:val="FFFFFF"/>
                <w:sz w:val="22"/>
                <w:szCs w:val="22"/>
              </w:rPr>
              <w:t>Technologies Used</w:t>
            </w:r>
          </w:p>
        </w:tc>
      </w:tr>
      <w:tr w:rsidR="00FA6AB5">
        <w:tblPrEx>
          <w:tblCellMar>
            <w:top w:w="0" w:type="dxa"/>
            <w:bottom w:w="0" w:type="dxa"/>
          </w:tblCellMar>
        </w:tblPrEx>
        <w:tc>
          <w:tcPr>
            <w:tcW w:w="1500" w:type="pct"/>
            <w:tcMar>
              <w:top w:w="60" w:type="dxa"/>
              <w:left w:w="100" w:type="dxa"/>
              <w:bottom w:w="60" w:type="dxa"/>
              <w:right w:w="100" w:type="dxa"/>
            </w:tcMar>
            <w:vAlign w:val="center"/>
          </w:tcPr>
          <w:p w:rsidR="00FA6AB5" w:rsidRPr="00B81227" w:rsidRDefault="00E91FBE">
            <w:pPr>
              <w:rPr>
                <w:sz w:val="22"/>
                <w:szCs w:val="22"/>
              </w:rPr>
            </w:pPr>
            <w:r w:rsidRPr="00B81227">
              <w:rPr>
                <w:color w:val="000000"/>
                <w:sz w:val="22"/>
                <w:szCs w:val="22"/>
              </w:rPr>
              <w:t>Remote sensing &amp; GIS</w:t>
            </w:r>
          </w:p>
        </w:tc>
        <w:tc>
          <w:tcPr>
            <w:tcW w:w="3500" w:type="pct"/>
            <w:tcMar>
              <w:top w:w="60" w:type="dxa"/>
              <w:left w:w="100" w:type="dxa"/>
              <w:bottom w:w="60" w:type="dxa"/>
              <w:right w:w="100" w:type="dxa"/>
            </w:tcMar>
            <w:vAlign w:val="center"/>
          </w:tcPr>
          <w:p w:rsidR="00FA6AB5" w:rsidRPr="00B81227" w:rsidRDefault="00E91FBE">
            <w:pPr>
              <w:rPr>
                <w:sz w:val="22"/>
                <w:szCs w:val="22"/>
              </w:rPr>
            </w:pPr>
            <w:r w:rsidRPr="00B81227">
              <w:rPr>
                <w:color w:val="000000"/>
                <w:sz w:val="22"/>
                <w:szCs w:val="22"/>
              </w:rPr>
              <w:t xml:space="preserve">Google Earth Engine, </w:t>
            </w:r>
            <w:proofErr w:type="spellStart"/>
            <w:r w:rsidRPr="00B81227">
              <w:rPr>
                <w:color w:val="000000"/>
                <w:sz w:val="22"/>
                <w:szCs w:val="22"/>
              </w:rPr>
              <w:t>rasterio</w:t>
            </w:r>
            <w:proofErr w:type="spellEnd"/>
            <w:r w:rsidRPr="00B81227">
              <w:rPr>
                <w:color w:val="000000"/>
                <w:sz w:val="22"/>
                <w:szCs w:val="22"/>
              </w:rPr>
              <w:t xml:space="preserve">, </w:t>
            </w:r>
            <w:proofErr w:type="spellStart"/>
            <w:r w:rsidRPr="00B81227">
              <w:rPr>
                <w:color w:val="000000"/>
                <w:sz w:val="22"/>
                <w:szCs w:val="22"/>
              </w:rPr>
              <w:t>geopandas</w:t>
            </w:r>
            <w:proofErr w:type="spellEnd"/>
            <w:r w:rsidRPr="00B81227">
              <w:rPr>
                <w:color w:val="000000"/>
                <w:sz w:val="22"/>
                <w:szCs w:val="22"/>
              </w:rPr>
              <w:t xml:space="preserve">, shapely, </w:t>
            </w:r>
            <w:proofErr w:type="spellStart"/>
            <w:r w:rsidRPr="00B81227">
              <w:rPr>
                <w:color w:val="000000"/>
                <w:sz w:val="22"/>
                <w:szCs w:val="22"/>
              </w:rPr>
              <w:t>pyproj</w:t>
            </w:r>
            <w:proofErr w:type="spellEnd"/>
          </w:p>
        </w:tc>
      </w:tr>
      <w:tr w:rsidR="00FA6AB5">
        <w:tblPrEx>
          <w:tblCellMar>
            <w:top w:w="0" w:type="dxa"/>
            <w:bottom w:w="0" w:type="dxa"/>
          </w:tblCellMar>
        </w:tblPrEx>
        <w:tc>
          <w:tcPr>
            <w:tcW w:w="1500" w:type="pct"/>
            <w:tcMar>
              <w:top w:w="60" w:type="dxa"/>
              <w:left w:w="100" w:type="dxa"/>
              <w:bottom w:w="60" w:type="dxa"/>
              <w:right w:w="100" w:type="dxa"/>
            </w:tcMar>
            <w:vAlign w:val="center"/>
          </w:tcPr>
          <w:p w:rsidR="00FA6AB5" w:rsidRPr="00B81227" w:rsidRDefault="00E91FBE">
            <w:pPr>
              <w:rPr>
                <w:sz w:val="22"/>
                <w:szCs w:val="22"/>
              </w:rPr>
            </w:pPr>
            <w:r w:rsidRPr="00B81227">
              <w:rPr>
                <w:color w:val="000000"/>
                <w:sz w:val="22"/>
                <w:szCs w:val="22"/>
              </w:rPr>
              <w:t>Scientific computing</w:t>
            </w:r>
          </w:p>
        </w:tc>
        <w:tc>
          <w:tcPr>
            <w:tcW w:w="3500" w:type="pct"/>
            <w:tcMar>
              <w:top w:w="60" w:type="dxa"/>
              <w:left w:w="100" w:type="dxa"/>
              <w:bottom w:w="60" w:type="dxa"/>
              <w:right w:w="100" w:type="dxa"/>
            </w:tcMar>
            <w:vAlign w:val="center"/>
          </w:tcPr>
          <w:p w:rsidR="00FA6AB5" w:rsidRPr="00B81227" w:rsidRDefault="00E91FBE">
            <w:pPr>
              <w:rPr>
                <w:sz w:val="22"/>
                <w:szCs w:val="22"/>
              </w:rPr>
            </w:pPr>
            <w:proofErr w:type="spellStart"/>
            <w:r w:rsidRPr="00B81227">
              <w:rPr>
                <w:color w:val="000000"/>
                <w:sz w:val="22"/>
                <w:szCs w:val="22"/>
              </w:rPr>
              <w:t>numpy</w:t>
            </w:r>
            <w:proofErr w:type="spellEnd"/>
            <w:r w:rsidRPr="00B81227">
              <w:rPr>
                <w:color w:val="000000"/>
                <w:sz w:val="22"/>
                <w:szCs w:val="22"/>
              </w:rPr>
              <w:t xml:space="preserve">, pandas, </w:t>
            </w:r>
            <w:proofErr w:type="spellStart"/>
            <w:r w:rsidRPr="00B81227">
              <w:rPr>
                <w:color w:val="000000"/>
                <w:sz w:val="22"/>
                <w:szCs w:val="22"/>
              </w:rPr>
              <w:t>scipy</w:t>
            </w:r>
            <w:proofErr w:type="spellEnd"/>
          </w:p>
        </w:tc>
      </w:tr>
      <w:tr w:rsidR="00FA6AB5">
        <w:tblPrEx>
          <w:tblCellMar>
            <w:top w:w="0" w:type="dxa"/>
            <w:bottom w:w="0" w:type="dxa"/>
          </w:tblCellMar>
        </w:tblPrEx>
        <w:tc>
          <w:tcPr>
            <w:tcW w:w="1500" w:type="pct"/>
            <w:tcMar>
              <w:top w:w="60" w:type="dxa"/>
              <w:left w:w="100" w:type="dxa"/>
              <w:bottom w:w="60" w:type="dxa"/>
              <w:right w:w="100" w:type="dxa"/>
            </w:tcMar>
            <w:vAlign w:val="center"/>
          </w:tcPr>
          <w:p w:rsidR="00FA6AB5" w:rsidRPr="00B81227" w:rsidRDefault="00E91FBE">
            <w:pPr>
              <w:rPr>
                <w:sz w:val="22"/>
                <w:szCs w:val="22"/>
              </w:rPr>
            </w:pPr>
            <w:r w:rsidRPr="00B81227">
              <w:rPr>
                <w:color w:val="000000"/>
                <w:sz w:val="22"/>
                <w:szCs w:val="22"/>
              </w:rPr>
              <w:t>Machine learning</w:t>
            </w:r>
          </w:p>
        </w:tc>
        <w:tc>
          <w:tcPr>
            <w:tcW w:w="3500" w:type="pct"/>
            <w:tcMar>
              <w:top w:w="60" w:type="dxa"/>
              <w:left w:w="100" w:type="dxa"/>
              <w:bottom w:w="60" w:type="dxa"/>
              <w:right w:w="100" w:type="dxa"/>
            </w:tcMar>
            <w:vAlign w:val="center"/>
          </w:tcPr>
          <w:p w:rsidR="00FA6AB5" w:rsidRPr="00B81227" w:rsidRDefault="00E91FBE">
            <w:pPr>
              <w:rPr>
                <w:sz w:val="22"/>
                <w:szCs w:val="22"/>
              </w:rPr>
            </w:pPr>
            <w:proofErr w:type="spellStart"/>
            <w:r w:rsidRPr="00B81227">
              <w:rPr>
                <w:color w:val="000000"/>
                <w:sz w:val="22"/>
                <w:szCs w:val="22"/>
              </w:rPr>
              <w:t>scikit</w:t>
            </w:r>
            <w:proofErr w:type="spellEnd"/>
            <w:r w:rsidRPr="00B81227">
              <w:rPr>
                <w:color w:val="000000"/>
                <w:sz w:val="22"/>
                <w:szCs w:val="22"/>
              </w:rPr>
              <w:t xml:space="preserve">-learn (Random Forest), </w:t>
            </w:r>
            <w:proofErr w:type="spellStart"/>
            <w:r w:rsidRPr="00B81227">
              <w:rPr>
                <w:color w:val="000000"/>
                <w:sz w:val="22"/>
                <w:szCs w:val="22"/>
              </w:rPr>
              <w:t>XGBoost</w:t>
            </w:r>
            <w:proofErr w:type="spellEnd"/>
            <w:r w:rsidRPr="00B81227">
              <w:rPr>
                <w:color w:val="000000"/>
                <w:sz w:val="22"/>
                <w:szCs w:val="22"/>
              </w:rPr>
              <w:t>, TensorFlow/</w:t>
            </w:r>
            <w:proofErr w:type="spellStart"/>
            <w:r w:rsidRPr="00B81227">
              <w:rPr>
                <w:color w:val="000000"/>
                <w:sz w:val="22"/>
                <w:szCs w:val="22"/>
              </w:rPr>
              <w:t>Keras</w:t>
            </w:r>
            <w:proofErr w:type="spellEnd"/>
            <w:r w:rsidRPr="00B81227">
              <w:rPr>
                <w:color w:val="000000"/>
                <w:sz w:val="22"/>
                <w:szCs w:val="22"/>
              </w:rPr>
              <w:t xml:space="preserve"> (LSTM)</w:t>
            </w:r>
          </w:p>
        </w:tc>
      </w:tr>
      <w:tr w:rsidR="00FA6AB5">
        <w:tblPrEx>
          <w:tblCellMar>
            <w:top w:w="0" w:type="dxa"/>
            <w:bottom w:w="0" w:type="dxa"/>
          </w:tblCellMar>
        </w:tblPrEx>
        <w:tc>
          <w:tcPr>
            <w:tcW w:w="1500" w:type="pct"/>
            <w:tcMar>
              <w:top w:w="60" w:type="dxa"/>
              <w:left w:w="100" w:type="dxa"/>
              <w:bottom w:w="60" w:type="dxa"/>
              <w:right w:w="100" w:type="dxa"/>
            </w:tcMar>
            <w:vAlign w:val="center"/>
          </w:tcPr>
          <w:p w:rsidR="00FA6AB5" w:rsidRPr="00B81227" w:rsidRDefault="00E91FBE">
            <w:pPr>
              <w:rPr>
                <w:sz w:val="22"/>
                <w:szCs w:val="22"/>
              </w:rPr>
            </w:pPr>
            <w:r w:rsidRPr="00B81227">
              <w:rPr>
                <w:color w:val="000000"/>
                <w:sz w:val="22"/>
                <w:szCs w:val="22"/>
              </w:rPr>
              <w:t>Routing</w:t>
            </w:r>
          </w:p>
        </w:tc>
        <w:tc>
          <w:tcPr>
            <w:tcW w:w="3500" w:type="pct"/>
            <w:tcMar>
              <w:top w:w="60" w:type="dxa"/>
              <w:left w:w="100" w:type="dxa"/>
              <w:bottom w:w="60" w:type="dxa"/>
              <w:right w:w="100" w:type="dxa"/>
            </w:tcMar>
            <w:vAlign w:val="center"/>
          </w:tcPr>
          <w:p w:rsidR="00FA6AB5" w:rsidRPr="00B81227" w:rsidRDefault="00E91FBE">
            <w:pPr>
              <w:rPr>
                <w:sz w:val="22"/>
                <w:szCs w:val="22"/>
              </w:rPr>
            </w:pPr>
            <w:proofErr w:type="spellStart"/>
            <w:r w:rsidRPr="00B81227">
              <w:rPr>
                <w:color w:val="000000"/>
                <w:sz w:val="22"/>
                <w:szCs w:val="22"/>
              </w:rPr>
              <w:t>NetworkX</w:t>
            </w:r>
            <w:proofErr w:type="spellEnd"/>
            <w:r w:rsidRPr="00B81227">
              <w:rPr>
                <w:color w:val="000000"/>
                <w:sz w:val="22"/>
                <w:szCs w:val="22"/>
              </w:rPr>
              <w:t xml:space="preserve"> (Dijkstra, Yen</w:t>
            </w:r>
            <w:r w:rsidRPr="00B81227">
              <w:rPr>
                <w:color w:val="000000"/>
                <w:sz w:val="22"/>
                <w:szCs w:val="22"/>
              </w:rPr>
              <w:t>'</w:t>
            </w:r>
            <w:r w:rsidRPr="00B81227">
              <w:rPr>
                <w:color w:val="000000"/>
                <w:sz w:val="22"/>
                <w:szCs w:val="22"/>
              </w:rPr>
              <w:t>s k-shortest-paths)</w:t>
            </w:r>
          </w:p>
        </w:tc>
      </w:tr>
      <w:tr w:rsidR="00FA6AB5">
        <w:tblPrEx>
          <w:tblCellMar>
            <w:top w:w="0" w:type="dxa"/>
            <w:bottom w:w="0" w:type="dxa"/>
          </w:tblCellMar>
        </w:tblPrEx>
        <w:tc>
          <w:tcPr>
            <w:tcW w:w="1500" w:type="pct"/>
            <w:tcMar>
              <w:top w:w="60" w:type="dxa"/>
              <w:left w:w="100" w:type="dxa"/>
              <w:bottom w:w="60" w:type="dxa"/>
              <w:right w:w="100" w:type="dxa"/>
            </w:tcMar>
            <w:vAlign w:val="center"/>
          </w:tcPr>
          <w:p w:rsidR="00FA6AB5" w:rsidRPr="00B81227" w:rsidRDefault="00E91FBE">
            <w:pPr>
              <w:rPr>
                <w:sz w:val="22"/>
                <w:szCs w:val="22"/>
              </w:rPr>
            </w:pPr>
            <w:r w:rsidRPr="00B81227">
              <w:rPr>
                <w:color w:val="000000"/>
                <w:sz w:val="22"/>
                <w:szCs w:val="22"/>
              </w:rPr>
              <w:t>Backend</w:t>
            </w:r>
          </w:p>
        </w:tc>
        <w:tc>
          <w:tcPr>
            <w:tcW w:w="3500" w:type="pct"/>
            <w:tcMar>
              <w:top w:w="60" w:type="dxa"/>
              <w:left w:w="100" w:type="dxa"/>
              <w:bottom w:w="60" w:type="dxa"/>
              <w:right w:w="100" w:type="dxa"/>
            </w:tcMar>
            <w:vAlign w:val="center"/>
          </w:tcPr>
          <w:p w:rsidR="00FA6AB5" w:rsidRPr="00B81227" w:rsidRDefault="00E91FBE">
            <w:pPr>
              <w:rPr>
                <w:sz w:val="22"/>
                <w:szCs w:val="22"/>
              </w:rPr>
            </w:pPr>
            <w:r w:rsidRPr="00B81227">
              <w:rPr>
                <w:color w:val="000000"/>
                <w:sz w:val="22"/>
                <w:szCs w:val="22"/>
              </w:rPr>
              <w:t>Django, Django REST Framework</w:t>
            </w:r>
          </w:p>
        </w:tc>
      </w:tr>
      <w:tr w:rsidR="00FA6AB5">
        <w:tblPrEx>
          <w:tblCellMar>
            <w:top w:w="0" w:type="dxa"/>
            <w:bottom w:w="0" w:type="dxa"/>
          </w:tblCellMar>
        </w:tblPrEx>
        <w:tc>
          <w:tcPr>
            <w:tcW w:w="1500" w:type="pct"/>
            <w:tcMar>
              <w:top w:w="60" w:type="dxa"/>
              <w:left w:w="100" w:type="dxa"/>
              <w:bottom w:w="60" w:type="dxa"/>
              <w:right w:w="100" w:type="dxa"/>
            </w:tcMar>
            <w:vAlign w:val="center"/>
          </w:tcPr>
          <w:p w:rsidR="00FA6AB5" w:rsidRPr="00B81227" w:rsidRDefault="00E91FBE">
            <w:pPr>
              <w:rPr>
                <w:sz w:val="22"/>
                <w:szCs w:val="22"/>
              </w:rPr>
            </w:pPr>
            <w:r w:rsidRPr="00B81227">
              <w:rPr>
                <w:color w:val="000000"/>
                <w:sz w:val="22"/>
                <w:szCs w:val="22"/>
              </w:rPr>
              <w:t>Frontend</w:t>
            </w:r>
          </w:p>
        </w:tc>
        <w:tc>
          <w:tcPr>
            <w:tcW w:w="3500" w:type="pct"/>
            <w:tcMar>
              <w:top w:w="60" w:type="dxa"/>
              <w:left w:w="100" w:type="dxa"/>
              <w:bottom w:w="60" w:type="dxa"/>
              <w:right w:w="100" w:type="dxa"/>
            </w:tcMar>
            <w:vAlign w:val="center"/>
          </w:tcPr>
          <w:p w:rsidR="00FA6AB5" w:rsidRPr="00B81227" w:rsidRDefault="00E91FBE">
            <w:pPr>
              <w:rPr>
                <w:sz w:val="22"/>
                <w:szCs w:val="22"/>
              </w:rPr>
            </w:pPr>
            <w:r w:rsidRPr="00B81227">
              <w:rPr>
                <w:color w:val="000000"/>
                <w:sz w:val="22"/>
                <w:szCs w:val="22"/>
              </w:rPr>
              <w:t>Leaflet.js, vanilla JavaScript, HTML/CSS</w:t>
            </w:r>
          </w:p>
        </w:tc>
      </w:tr>
      <w:tr w:rsidR="00FA6AB5">
        <w:tblPrEx>
          <w:tblCellMar>
            <w:top w:w="0" w:type="dxa"/>
            <w:bottom w:w="0" w:type="dxa"/>
          </w:tblCellMar>
        </w:tblPrEx>
        <w:tc>
          <w:tcPr>
            <w:tcW w:w="1500" w:type="pct"/>
            <w:tcMar>
              <w:top w:w="60" w:type="dxa"/>
              <w:left w:w="100" w:type="dxa"/>
              <w:bottom w:w="60" w:type="dxa"/>
              <w:right w:w="100" w:type="dxa"/>
            </w:tcMar>
            <w:vAlign w:val="center"/>
          </w:tcPr>
          <w:p w:rsidR="00FA6AB5" w:rsidRPr="00B81227" w:rsidRDefault="00E91FBE">
            <w:pPr>
              <w:rPr>
                <w:sz w:val="22"/>
                <w:szCs w:val="22"/>
              </w:rPr>
            </w:pPr>
            <w:r w:rsidRPr="00B81227">
              <w:rPr>
                <w:color w:val="000000"/>
                <w:sz w:val="22"/>
                <w:szCs w:val="22"/>
              </w:rPr>
              <w:t>Offline support</w:t>
            </w:r>
          </w:p>
        </w:tc>
        <w:tc>
          <w:tcPr>
            <w:tcW w:w="3500" w:type="pct"/>
            <w:tcMar>
              <w:top w:w="60" w:type="dxa"/>
              <w:left w:w="100" w:type="dxa"/>
              <w:bottom w:w="60" w:type="dxa"/>
              <w:right w:w="100" w:type="dxa"/>
            </w:tcMar>
            <w:vAlign w:val="center"/>
          </w:tcPr>
          <w:p w:rsidR="00FA6AB5" w:rsidRPr="00B81227" w:rsidRDefault="00E91FBE">
            <w:pPr>
              <w:rPr>
                <w:sz w:val="22"/>
                <w:szCs w:val="22"/>
              </w:rPr>
            </w:pPr>
            <w:r w:rsidRPr="00B81227">
              <w:rPr>
                <w:color w:val="000000"/>
                <w:sz w:val="22"/>
                <w:szCs w:val="22"/>
              </w:rPr>
              <w:t xml:space="preserve">Service Worker API, </w:t>
            </w:r>
            <w:proofErr w:type="spellStart"/>
            <w:r w:rsidRPr="00B81227">
              <w:rPr>
                <w:color w:val="000000"/>
                <w:sz w:val="22"/>
                <w:szCs w:val="22"/>
              </w:rPr>
              <w:t>localStorage</w:t>
            </w:r>
            <w:proofErr w:type="spellEnd"/>
          </w:p>
        </w:tc>
      </w:tr>
      <w:tr w:rsidR="00FA6AB5" w:rsidTr="00970D98">
        <w:tblPrEx>
          <w:tblCellMar>
            <w:top w:w="0" w:type="dxa"/>
            <w:bottom w:w="0" w:type="dxa"/>
          </w:tblCellMar>
        </w:tblPrEx>
        <w:trPr>
          <w:trHeight w:val="168"/>
        </w:trPr>
        <w:tc>
          <w:tcPr>
            <w:tcW w:w="1500" w:type="pct"/>
            <w:tcBorders>
              <w:bottom w:val="single" w:sz="4" w:space="0" w:color="auto"/>
            </w:tcBorders>
            <w:tcMar>
              <w:top w:w="60" w:type="dxa"/>
              <w:left w:w="100" w:type="dxa"/>
              <w:bottom w:w="60" w:type="dxa"/>
              <w:right w:w="100" w:type="dxa"/>
            </w:tcMar>
            <w:vAlign w:val="center"/>
          </w:tcPr>
          <w:p w:rsidR="00FA6AB5" w:rsidRPr="00B81227" w:rsidRDefault="00E91FBE">
            <w:pPr>
              <w:rPr>
                <w:sz w:val="22"/>
                <w:szCs w:val="22"/>
              </w:rPr>
            </w:pPr>
            <w:r w:rsidRPr="00B81227">
              <w:rPr>
                <w:color w:val="000000"/>
                <w:sz w:val="22"/>
                <w:szCs w:val="22"/>
              </w:rPr>
              <w:t>Development environments</w:t>
            </w:r>
          </w:p>
        </w:tc>
        <w:tc>
          <w:tcPr>
            <w:tcW w:w="3500" w:type="pct"/>
            <w:tcBorders>
              <w:bottom w:val="single" w:sz="4" w:space="0" w:color="auto"/>
            </w:tcBorders>
            <w:tcMar>
              <w:top w:w="60" w:type="dxa"/>
              <w:left w:w="100" w:type="dxa"/>
              <w:bottom w:w="60" w:type="dxa"/>
              <w:right w:w="100" w:type="dxa"/>
            </w:tcMar>
            <w:vAlign w:val="center"/>
          </w:tcPr>
          <w:p w:rsidR="00FA6AB5" w:rsidRPr="00B81227" w:rsidRDefault="00E91FBE">
            <w:pPr>
              <w:rPr>
                <w:sz w:val="22"/>
                <w:szCs w:val="22"/>
              </w:rPr>
            </w:pPr>
            <w:r w:rsidRPr="00B81227">
              <w:rPr>
                <w:color w:val="000000"/>
                <w:sz w:val="22"/>
                <w:szCs w:val="22"/>
              </w:rPr>
              <w:t xml:space="preserve">Google </w:t>
            </w:r>
            <w:proofErr w:type="spellStart"/>
            <w:r w:rsidRPr="00B81227">
              <w:rPr>
                <w:color w:val="000000"/>
                <w:sz w:val="22"/>
                <w:szCs w:val="22"/>
              </w:rPr>
              <w:t>Colab</w:t>
            </w:r>
            <w:proofErr w:type="spellEnd"/>
            <w:r w:rsidRPr="00B81227">
              <w:rPr>
                <w:color w:val="000000"/>
                <w:sz w:val="22"/>
                <w:szCs w:val="22"/>
              </w:rPr>
              <w:t xml:space="preserve"> (data pipeline), VS Code + Python </w:t>
            </w:r>
            <w:proofErr w:type="spellStart"/>
            <w:r w:rsidRPr="00B81227">
              <w:rPr>
                <w:color w:val="000000"/>
                <w:sz w:val="22"/>
                <w:szCs w:val="22"/>
              </w:rPr>
              <w:t>venv</w:t>
            </w:r>
            <w:proofErr w:type="spellEnd"/>
            <w:r w:rsidRPr="00B81227">
              <w:rPr>
                <w:color w:val="000000"/>
                <w:sz w:val="22"/>
                <w:szCs w:val="22"/>
              </w:rPr>
              <w:t xml:space="preserve"> (web app)</w:t>
            </w:r>
          </w:p>
        </w:tc>
      </w:tr>
      <w:tr w:rsidR="00970D98" w:rsidTr="00970D98">
        <w:tblPrEx>
          <w:tblCellMar>
            <w:top w:w="0" w:type="dxa"/>
            <w:bottom w:w="0" w:type="dxa"/>
          </w:tblCellMar>
        </w:tblPrEx>
        <w:trPr>
          <w:trHeight w:val="168"/>
        </w:trPr>
        <w:tc>
          <w:tcPr>
            <w:tcW w:w="1500" w:type="pct"/>
            <w:tcBorders>
              <w:top w:val="single" w:sz="4" w:space="0" w:color="auto"/>
              <w:left w:val="nil"/>
              <w:bottom w:val="nil"/>
              <w:right w:val="nil"/>
            </w:tcBorders>
            <w:tcMar>
              <w:top w:w="60" w:type="dxa"/>
              <w:left w:w="100" w:type="dxa"/>
              <w:bottom w:w="60" w:type="dxa"/>
              <w:right w:w="100" w:type="dxa"/>
            </w:tcMar>
            <w:vAlign w:val="center"/>
          </w:tcPr>
          <w:p w:rsidR="00970D98" w:rsidRDefault="00970D98">
            <w:pPr>
              <w:rPr>
                <w:color w:val="000000"/>
                <w:sz w:val="22"/>
                <w:szCs w:val="22"/>
              </w:rPr>
            </w:pPr>
          </w:p>
          <w:p w:rsidR="00970D98" w:rsidRDefault="00970D98">
            <w:pPr>
              <w:rPr>
                <w:color w:val="000000"/>
                <w:sz w:val="22"/>
                <w:szCs w:val="22"/>
              </w:rPr>
            </w:pPr>
          </w:p>
          <w:p w:rsidR="00970D98" w:rsidRDefault="00970D98">
            <w:pPr>
              <w:rPr>
                <w:color w:val="000000"/>
                <w:sz w:val="22"/>
                <w:szCs w:val="22"/>
              </w:rPr>
            </w:pPr>
          </w:p>
          <w:p w:rsidR="00970D98" w:rsidRDefault="00970D98">
            <w:pPr>
              <w:rPr>
                <w:color w:val="000000"/>
                <w:sz w:val="22"/>
                <w:szCs w:val="22"/>
              </w:rPr>
            </w:pPr>
          </w:p>
          <w:p w:rsidR="00970D98" w:rsidRDefault="00970D98">
            <w:pPr>
              <w:rPr>
                <w:color w:val="000000"/>
                <w:sz w:val="22"/>
                <w:szCs w:val="22"/>
              </w:rPr>
            </w:pPr>
          </w:p>
          <w:p w:rsidR="00970D98" w:rsidRDefault="00970D98">
            <w:pPr>
              <w:rPr>
                <w:color w:val="000000"/>
                <w:sz w:val="22"/>
                <w:szCs w:val="22"/>
              </w:rPr>
            </w:pPr>
          </w:p>
          <w:p w:rsidR="00970D98" w:rsidRDefault="00970D98">
            <w:pPr>
              <w:rPr>
                <w:color w:val="000000"/>
                <w:sz w:val="22"/>
                <w:szCs w:val="22"/>
              </w:rPr>
            </w:pPr>
          </w:p>
          <w:p w:rsidR="00970D98" w:rsidRDefault="00970D98">
            <w:pPr>
              <w:rPr>
                <w:color w:val="000000"/>
                <w:sz w:val="22"/>
                <w:szCs w:val="22"/>
              </w:rPr>
            </w:pPr>
          </w:p>
          <w:p w:rsidR="00970D98" w:rsidRDefault="00970D98">
            <w:pPr>
              <w:rPr>
                <w:color w:val="000000"/>
                <w:sz w:val="22"/>
                <w:szCs w:val="22"/>
              </w:rPr>
            </w:pPr>
          </w:p>
          <w:p w:rsidR="00970D98" w:rsidRDefault="00970D98">
            <w:pPr>
              <w:rPr>
                <w:color w:val="000000"/>
                <w:sz w:val="22"/>
                <w:szCs w:val="22"/>
              </w:rPr>
            </w:pPr>
          </w:p>
          <w:p w:rsidR="00970D98" w:rsidRDefault="00970D98">
            <w:pPr>
              <w:rPr>
                <w:color w:val="000000"/>
                <w:sz w:val="22"/>
                <w:szCs w:val="22"/>
              </w:rPr>
            </w:pPr>
          </w:p>
          <w:p w:rsidR="00970D98" w:rsidRPr="00B81227" w:rsidRDefault="00970D98">
            <w:pPr>
              <w:rPr>
                <w:color w:val="000000"/>
                <w:sz w:val="22"/>
                <w:szCs w:val="22"/>
              </w:rPr>
            </w:pPr>
          </w:p>
        </w:tc>
        <w:tc>
          <w:tcPr>
            <w:tcW w:w="3500" w:type="pct"/>
            <w:tcBorders>
              <w:left w:val="nil"/>
              <w:bottom w:val="nil"/>
              <w:right w:val="nil"/>
            </w:tcBorders>
            <w:tcMar>
              <w:top w:w="60" w:type="dxa"/>
              <w:left w:w="100" w:type="dxa"/>
              <w:bottom w:w="60" w:type="dxa"/>
              <w:right w:w="100" w:type="dxa"/>
            </w:tcMar>
            <w:vAlign w:val="center"/>
          </w:tcPr>
          <w:p w:rsidR="00970D98" w:rsidRPr="00B81227" w:rsidRDefault="00970D98">
            <w:pPr>
              <w:rPr>
                <w:color w:val="000000"/>
                <w:sz w:val="22"/>
                <w:szCs w:val="22"/>
              </w:rPr>
            </w:pPr>
          </w:p>
        </w:tc>
      </w:tr>
    </w:tbl>
    <w:p w:rsidR="00FA6AB5" w:rsidRDefault="00E91FBE">
      <w:pPr>
        <w:pStyle w:val="Heading1"/>
        <w:pBdr>
          <w:bottom w:val="single" w:sz="6" w:space="4" w:color="1E5631"/>
        </w:pBdr>
        <w:spacing w:before="240" w:after="110"/>
      </w:pPr>
      <w:r>
        <w:rPr>
          <w:b/>
          <w:bCs/>
          <w:color w:val="1E5631"/>
          <w:sz w:val="25"/>
          <w:szCs w:val="25"/>
        </w:rPr>
        <w:lastRenderedPageBreak/>
        <w:t>5. Data 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1"/>
        <w:gridCol w:w="3167"/>
        <w:gridCol w:w="3958"/>
      </w:tblGrid>
      <w:tr w:rsidR="00FA6AB5">
        <w:tblPrEx>
          <w:tblCellMar>
            <w:top w:w="0" w:type="dxa"/>
            <w:bottom w:w="0" w:type="dxa"/>
          </w:tblCellMar>
        </w:tblPrEx>
        <w:tc>
          <w:tcPr>
            <w:tcW w:w="1400" w:type="pct"/>
            <w:shd w:val="clear" w:color="auto" w:fill="1E5631"/>
            <w:tcMar>
              <w:top w:w="60" w:type="dxa"/>
              <w:left w:w="100" w:type="dxa"/>
              <w:bottom w:w="60" w:type="dxa"/>
              <w:right w:w="100" w:type="dxa"/>
            </w:tcMar>
            <w:vAlign w:val="center"/>
          </w:tcPr>
          <w:p w:rsidR="00FA6AB5" w:rsidRPr="00B81227" w:rsidRDefault="00E91FBE">
            <w:pPr>
              <w:rPr>
                <w:sz w:val="24"/>
                <w:szCs w:val="24"/>
              </w:rPr>
            </w:pPr>
            <w:r w:rsidRPr="00B81227">
              <w:rPr>
                <w:b/>
                <w:bCs/>
                <w:color w:val="FFFFFF"/>
                <w:sz w:val="24"/>
                <w:szCs w:val="24"/>
              </w:rPr>
              <w:t>Dataset</w:t>
            </w:r>
          </w:p>
        </w:tc>
        <w:tc>
          <w:tcPr>
            <w:tcW w:w="1600" w:type="pct"/>
            <w:shd w:val="clear" w:color="auto" w:fill="1E5631"/>
            <w:tcMar>
              <w:top w:w="60" w:type="dxa"/>
              <w:left w:w="100" w:type="dxa"/>
              <w:bottom w:w="60" w:type="dxa"/>
              <w:right w:w="100" w:type="dxa"/>
            </w:tcMar>
            <w:vAlign w:val="center"/>
          </w:tcPr>
          <w:p w:rsidR="00FA6AB5" w:rsidRPr="00B81227" w:rsidRDefault="00E91FBE">
            <w:pPr>
              <w:rPr>
                <w:sz w:val="24"/>
                <w:szCs w:val="24"/>
              </w:rPr>
            </w:pPr>
            <w:r w:rsidRPr="00B81227">
              <w:rPr>
                <w:b/>
                <w:bCs/>
                <w:color w:val="FFFFFF"/>
                <w:sz w:val="24"/>
                <w:szCs w:val="24"/>
              </w:rPr>
              <w:t>Provider</w:t>
            </w:r>
          </w:p>
        </w:tc>
        <w:tc>
          <w:tcPr>
            <w:tcW w:w="2000" w:type="pct"/>
            <w:shd w:val="clear" w:color="auto" w:fill="1E5631"/>
            <w:tcMar>
              <w:top w:w="60" w:type="dxa"/>
              <w:left w:w="100" w:type="dxa"/>
              <w:bottom w:w="60" w:type="dxa"/>
              <w:right w:w="100" w:type="dxa"/>
            </w:tcMar>
            <w:vAlign w:val="center"/>
          </w:tcPr>
          <w:p w:rsidR="00FA6AB5" w:rsidRPr="00B81227" w:rsidRDefault="00E91FBE">
            <w:pPr>
              <w:rPr>
                <w:sz w:val="24"/>
                <w:szCs w:val="24"/>
              </w:rPr>
            </w:pPr>
            <w:r w:rsidRPr="00B81227">
              <w:rPr>
                <w:b/>
                <w:bCs/>
                <w:color w:val="FFFFFF"/>
                <w:sz w:val="24"/>
                <w:szCs w:val="24"/>
              </w:rPr>
              <w:t>Role in the System</w:t>
            </w:r>
          </w:p>
        </w:tc>
      </w:tr>
      <w:tr w:rsidR="00FA6AB5">
        <w:tblPrEx>
          <w:tblCellMar>
            <w:top w:w="0" w:type="dxa"/>
            <w:bottom w:w="0" w:type="dxa"/>
          </w:tblCellMar>
        </w:tblPrEx>
        <w:tc>
          <w:tcPr>
            <w:tcW w:w="14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MODIS NDVI (MOD13A3)</w:t>
            </w:r>
          </w:p>
        </w:tc>
        <w:tc>
          <w:tcPr>
            <w:tcW w:w="16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NASA / Google Earth Engine</w:t>
            </w:r>
          </w:p>
        </w:tc>
        <w:tc>
          <w:tcPr>
            <w:tcW w:w="20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Vegetation greenness → biomass estimation</w:t>
            </w:r>
          </w:p>
        </w:tc>
      </w:tr>
      <w:tr w:rsidR="00FA6AB5">
        <w:tblPrEx>
          <w:tblCellMar>
            <w:top w:w="0" w:type="dxa"/>
            <w:bottom w:w="0" w:type="dxa"/>
          </w:tblCellMar>
        </w:tblPrEx>
        <w:tc>
          <w:tcPr>
            <w:tcW w:w="14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CHIRPS Rainfall</w:t>
            </w:r>
          </w:p>
        </w:tc>
        <w:tc>
          <w:tcPr>
            <w:tcW w:w="16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UCSB Climate Hazards Group</w:t>
            </w:r>
          </w:p>
        </w:tc>
        <w:tc>
          <w:tcPr>
            <w:tcW w:w="20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Rainfall input to suitability scoring</w:t>
            </w:r>
          </w:p>
        </w:tc>
      </w:tr>
      <w:tr w:rsidR="00FA6AB5">
        <w:tblPrEx>
          <w:tblCellMar>
            <w:top w:w="0" w:type="dxa"/>
            <w:bottom w:w="0" w:type="dxa"/>
          </w:tblCellMar>
        </w:tblPrEx>
        <w:tc>
          <w:tcPr>
            <w:tcW w:w="14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SRTM Elevation &amp; Slope</w:t>
            </w:r>
          </w:p>
        </w:tc>
        <w:tc>
          <w:tcPr>
            <w:tcW w:w="16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NASA / USGS</w:t>
            </w:r>
          </w:p>
        </w:tc>
        <w:tc>
          <w:tcPr>
            <w:tcW w:w="20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Terrain exclusion and routing cost</w:t>
            </w:r>
          </w:p>
        </w:tc>
      </w:tr>
      <w:tr w:rsidR="00FA6AB5">
        <w:tblPrEx>
          <w:tblCellMar>
            <w:top w:w="0" w:type="dxa"/>
            <w:bottom w:w="0" w:type="dxa"/>
          </w:tblCellMar>
        </w:tblPrEx>
        <w:tc>
          <w:tcPr>
            <w:tcW w:w="14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 xml:space="preserve">ESA </w:t>
            </w:r>
            <w:proofErr w:type="spellStart"/>
            <w:r w:rsidRPr="00B81227">
              <w:rPr>
                <w:color w:val="000000"/>
                <w:sz w:val="24"/>
                <w:szCs w:val="24"/>
              </w:rPr>
              <w:t>WorldCover</w:t>
            </w:r>
            <w:proofErr w:type="spellEnd"/>
          </w:p>
        </w:tc>
        <w:tc>
          <w:tcPr>
            <w:tcW w:w="16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European Space Agency</w:t>
            </w:r>
          </w:p>
        </w:tc>
        <w:tc>
          <w:tcPr>
            <w:tcW w:w="20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Cropland / settlement exclusion</w:t>
            </w:r>
          </w:p>
        </w:tc>
      </w:tr>
      <w:tr w:rsidR="00FA6AB5">
        <w:tblPrEx>
          <w:tblCellMar>
            <w:top w:w="0" w:type="dxa"/>
            <w:bottom w:w="0" w:type="dxa"/>
          </w:tblCellMar>
        </w:tblPrEx>
        <w:tc>
          <w:tcPr>
            <w:tcW w:w="14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JRC Global Surface Water</w:t>
            </w:r>
          </w:p>
        </w:tc>
        <w:tc>
          <w:tcPr>
            <w:tcW w:w="16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EU Joint Research Centre</w:t>
            </w:r>
          </w:p>
        </w:tc>
        <w:tc>
          <w:tcPr>
            <w:tcW w:w="20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Permanent water body mapping</w:t>
            </w:r>
          </w:p>
        </w:tc>
      </w:tr>
      <w:tr w:rsidR="00FA6AB5">
        <w:tblPrEx>
          <w:tblCellMar>
            <w:top w:w="0" w:type="dxa"/>
            <w:bottom w:w="0" w:type="dxa"/>
          </w:tblCellMar>
        </w:tblPrEx>
        <w:tc>
          <w:tcPr>
            <w:tcW w:w="1400" w:type="pct"/>
            <w:tcMar>
              <w:top w:w="60" w:type="dxa"/>
              <w:left w:w="100" w:type="dxa"/>
              <w:bottom w:w="60" w:type="dxa"/>
              <w:right w:w="100" w:type="dxa"/>
            </w:tcMar>
            <w:vAlign w:val="center"/>
          </w:tcPr>
          <w:p w:rsidR="00FA6AB5" w:rsidRPr="00B81227" w:rsidRDefault="00E91FBE">
            <w:pPr>
              <w:rPr>
                <w:sz w:val="24"/>
                <w:szCs w:val="24"/>
              </w:rPr>
            </w:pPr>
            <w:proofErr w:type="spellStart"/>
            <w:r w:rsidRPr="00B81227">
              <w:rPr>
                <w:color w:val="000000"/>
                <w:sz w:val="24"/>
                <w:szCs w:val="24"/>
              </w:rPr>
              <w:t>WorldPop</w:t>
            </w:r>
            <w:proofErr w:type="spellEnd"/>
          </w:p>
        </w:tc>
        <w:tc>
          <w:tcPr>
            <w:tcW w:w="1600" w:type="pct"/>
            <w:tcMar>
              <w:top w:w="60" w:type="dxa"/>
              <w:left w:w="100" w:type="dxa"/>
              <w:bottom w:w="60" w:type="dxa"/>
              <w:right w:w="100" w:type="dxa"/>
            </w:tcMar>
            <w:vAlign w:val="center"/>
          </w:tcPr>
          <w:p w:rsidR="00FA6AB5" w:rsidRPr="00B81227" w:rsidRDefault="00E91FBE">
            <w:pPr>
              <w:rPr>
                <w:sz w:val="24"/>
                <w:szCs w:val="24"/>
              </w:rPr>
            </w:pPr>
            <w:proofErr w:type="spellStart"/>
            <w:r w:rsidRPr="00B81227">
              <w:rPr>
                <w:color w:val="000000"/>
                <w:sz w:val="24"/>
                <w:szCs w:val="24"/>
              </w:rPr>
              <w:t>WorldPop</w:t>
            </w:r>
            <w:proofErr w:type="spellEnd"/>
            <w:r w:rsidRPr="00B81227">
              <w:rPr>
                <w:color w:val="000000"/>
                <w:sz w:val="24"/>
                <w:szCs w:val="24"/>
              </w:rPr>
              <w:t xml:space="preserve"> Project</w:t>
            </w:r>
          </w:p>
        </w:tc>
        <w:tc>
          <w:tcPr>
            <w:tcW w:w="20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Population density exclusion</w:t>
            </w:r>
          </w:p>
        </w:tc>
      </w:tr>
      <w:tr w:rsidR="00FA6AB5">
        <w:tblPrEx>
          <w:tblCellMar>
            <w:top w:w="0" w:type="dxa"/>
            <w:bottom w:w="0" w:type="dxa"/>
          </w:tblCellMar>
        </w:tblPrEx>
        <w:tc>
          <w:tcPr>
            <w:tcW w:w="14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OpenStreetMap Roads</w:t>
            </w:r>
          </w:p>
        </w:tc>
        <w:tc>
          <w:tcPr>
            <w:tcW w:w="1600" w:type="pct"/>
            <w:tcMar>
              <w:top w:w="60" w:type="dxa"/>
              <w:left w:w="100" w:type="dxa"/>
              <w:bottom w:w="60" w:type="dxa"/>
              <w:right w:w="100" w:type="dxa"/>
            </w:tcMar>
            <w:vAlign w:val="center"/>
          </w:tcPr>
          <w:p w:rsidR="00FA6AB5" w:rsidRPr="00B81227" w:rsidRDefault="00E91FBE">
            <w:pPr>
              <w:rPr>
                <w:sz w:val="24"/>
                <w:szCs w:val="24"/>
              </w:rPr>
            </w:pPr>
            <w:proofErr w:type="spellStart"/>
            <w:r w:rsidRPr="00B81227">
              <w:rPr>
                <w:color w:val="000000"/>
                <w:sz w:val="24"/>
                <w:szCs w:val="24"/>
              </w:rPr>
              <w:t>Geofabrik</w:t>
            </w:r>
            <w:proofErr w:type="spellEnd"/>
          </w:p>
        </w:tc>
        <w:tc>
          <w:tcPr>
            <w:tcW w:w="20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Road-type routing cost weighting</w:t>
            </w:r>
          </w:p>
        </w:tc>
      </w:tr>
      <w:tr w:rsidR="00FA6AB5">
        <w:tblPrEx>
          <w:tblCellMar>
            <w:top w:w="0" w:type="dxa"/>
            <w:bottom w:w="0" w:type="dxa"/>
          </w:tblCellMar>
        </w:tblPrEx>
        <w:tc>
          <w:tcPr>
            <w:tcW w:w="14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FAO GAUL Boundaries</w:t>
            </w:r>
          </w:p>
        </w:tc>
        <w:tc>
          <w:tcPr>
            <w:tcW w:w="16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FAO / Google Earth Engine</w:t>
            </w:r>
          </w:p>
        </w:tc>
        <w:tc>
          <w:tcPr>
            <w:tcW w:w="2000" w:type="pct"/>
            <w:tcMar>
              <w:top w:w="60" w:type="dxa"/>
              <w:left w:w="100" w:type="dxa"/>
              <w:bottom w:w="60" w:type="dxa"/>
              <w:right w:w="100" w:type="dxa"/>
            </w:tcMar>
            <w:vAlign w:val="center"/>
          </w:tcPr>
          <w:p w:rsidR="00FA6AB5" w:rsidRPr="00B81227" w:rsidRDefault="00E91FBE">
            <w:pPr>
              <w:rPr>
                <w:sz w:val="24"/>
                <w:szCs w:val="24"/>
              </w:rPr>
            </w:pPr>
            <w:r w:rsidRPr="00B81227">
              <w:rPr>
                <w:color w:val="000000"/>
                <w:sz w:val="24"/>
                <w:szCs w:val="24"/>
              </w:rPr>
              <w:t>Study area definition</w:t>
            </w:r>
          </w:p>
        </w:tc>
      </w:tr>
    </w:tbl>
    <w:p w:rsidR="00E91FBE" w:rsidRDefault="00E91FBE">
      <w:pPr>
        <w:spacing w:after="95" w:line="276" w:lineRule="auto"/>
        <w:rPr>
          <w:sz w:val="24"/>
          <w:szCs w:val="24"/>
        </w:rPr>
      </w:pPr>
    </w:p>
    <w:p w:rsidR="00FA6AB5" w:rsidRPr="00B81227" w:rsidRDefault="00E91FBE">
      <w:pPr>
        <w:spacing w:after="95" w:line="276" w:lineRule="auto"/>
        <w:rPr>
          <w:sz w:val="24"/>
          <w:szCs w:val="24"/>
        </w:rPr>
      </w:pPr>
      <w:r w:rsidRPr="00B81227">
        <w:rPr>
          <w:sz w:val="24"/>
          <w:szCs w:val="24"/>
        </w:rPr>
        <w:t>All datasets cover 2016–2025 where temporal data applies, harmonised to a common 1 km analysis grid and reprojected to EPSG:32633 (UTM Zone 33N) to enabl</w:t>
      </w:r>
      <w:r w:rsidRPr="00B81227">
        <w:rPr>
          <w:sz w:val="24"/>
          <w:szCs w:val="24"/>
        </w:rPr>
        <w:t>e accurate distance and area calculations.</w:t>
      </w:r>
    </w:p>
    <w:p w:rsidR="00FA6AB5" w:rsidRDefault="00E91FBE">
      <w:pPr>
        <w:pStyle w:val="Heading1"/>
        <w:pBdr>
          <w:bottom w:val="single" w:sz="6" w:space="4" w:color="1E5631"/>
        </w:pBdr>
        <w:spacing w:before="240" w:after="110"/>
      </w:pPr>
      <w:r>
        <w:rPr>
          <w:b/>
          <w:bCs/>
          <w:color w:val="1E5631"/>
          <w:sz w:val="25"/>
          <w:szCs w:val="25"/>
        </w:rPr>
        <w:t>6. Methodology</w:t>
      </w:r>
    </w:p>
    <w:p w:rsidR="00FA6AB5" w:rsidRDefault="00E91FBE">
      <w:pPr>
        <w:pStyle w:val="Heading2"/>
        <w:spacing w:before="160" w:after="70"/>
      </w:pPr>
      <w:r>
        <w:rPr>
          <w:b/>
          <w:bCs/>
          <w:color w:val="1E5631"/>
          <w:sz w:val="21"/>
          <w:szCs w:val="21"/>
        </w:rPr>
        <w:t xml:space="preserve">6.1 </w:t>
      </w:r>
      <w:r w:rsidRPr="00B81227">
        <w:rPr>
          <w:b/>
          <w:bCs/>
          <w:color w:val="1E5631"/>
          <w:sz w:val="22"/>
          <w:szCs w:val="22"/>
        </w:rPr>
        <w:t>Data Acquisition</w:t>
      </w:r>
    </w:p>
    <w:p w:rsidR="00FA6AB5" w:rsidRPr="00B81227" w:rsidRDefault="00E91FBE">
      <w:pPr>
        <w:spacing w:after="95" w:line="276" w:lineRule="auto"/>
        <w:rPr>
          <w:sz w:val="22"/>
          <w:szCs w:val="22"/>
        </w:rPr>
      </w:pPr>
      <w:r w:rsidRPr="00B81227">
        <w:rPr>
          <w:sz w:val="22"/>
          <w:szCs w:val="22"/>
        </w:rPr>
        <w:t xml:space="preserve">Six raster datasets were exported via Google Earth Engine for the </w:t>
      </w:r>
      <w:proofErr w:type="spellStart"/>
      <w:r w:rsidRPr="00B81227">
        <w:rPr>
          <w:sz w:val="22"/>
          <w:szCs w:val="22"/>
        </w:rPr>
        <w:t>Adamaoua</w:t>
      </w:r>
      <w:proofErr w:type="spellEnd"/>
      <w:r w:rsidRPr="00B81227">
        <w:rPr>
          <w:sz w:val="22"/>
          <w:szCs w:val="22"/>
        </w:rPr>
        <w:t xml:space="preserve"> administrative region, filtered from the FAO GAUL 2015 boundary dataset. NDVI and rainfall were exported as monthly time series across the full 2016–2025 period; elevation, slope, l</w:t>
      </w:r>
      <w:r w:rsidRPr="00B81227">
        <w:rPr>
          <w:sz w:val="22"/>
          <w:szCs w:val="22"/>
        </w:rPr>
        <w:t>and cover, water, and population were exported as static layers. Rainfall required manual aggregation from 5-day pentad totals to monthly sums, since the pre-built monthly rainfall collection had become unreliable on the platform. A missing 2017 NDVI expor</w:t>
      </w:r>
      <w:r w:rsidRPr="00B81227">
        <w:rPr>
          <w:sz w:val="22"/>
          <w:szCs w:val="22"/>
        </w:rPr>
        <w:t>t was identified during quality review and successfully re-submitted.</w:t>
      </w:r>
    </w:p>
    <w:p w:rsidR="00FA6AB5" w:rsidRPr="00970D98" w:rsidRDefault="00E91FBE">
      <w:pPr>
        <w:pStyle w:val="Heading2"/>
        <w:spacing w:before="160" w:after="70"/>
        <w:rPr>
          <w:sz w:val="22"/>
          <w:szCs w:val="22"/>
        </w:rPr>
      </w:pPr>
      <w:r w:rsidRPr="00970D98">
        <w:rPr>
          <w:b/>
          <w:bCs/>
          <w:color w:val="1E5631"/>
          <w:sz w:val="22"/>
          <w:szCs w:val="22"/>
        </w:rPr>
        <w:t xml:space="preserve">6.2 </w:t>
      </w:r>
      <w:proofErr w:type="spellStart"/>
      <w:r w:rsidRPr="00970D98">
        <w:rPr>
          <w:b/>
          <w:bCs/>
          <w:color w:val="1E5631"/>
          <w:sz w:val="22"/>
          <w:szCs w:val="22"/>
        </w:rPr>
        <w:t>Preprocessing</w:t>
      </w:r>
      <w:proofErr w:type="spellEnd"/>
    </w:p>
    <w:p w:rsidR="00FA6AB5" w:rsidRPr="00970D98" w:rsidRDefault="00E91FBE">
      <w:pPr>
        <w:spacing w:after="95" w:line="276" w:lineRule="auto"/>
        <w:rPr>
          <w:sz w:val="22"/>
          <w:szCs w:val="22"/>
        </w:rPr>
      </w:pPr>
      <w:r w:rsidRPr="00970D98">
        <w:rPr>
          <w:sz w:val="22"/>
          <w:szCs w:val="22"/>
        </w:rPr>
        <w:t>All six layers, originally at different native resolutions and coordinate systems, were reprojected to EPSG:32633 and resampled onto a single shared 1 km grid, using the NDVI grid as the reference. Continuous variables (elevation, slope, rainfall, populati</w:t>
      </w:r>
      <w:r w:rsidRPr="00970D98">
        <w:rPr>
          <w:sz w:val="22"/>
          <w:szCs w:val="22"/>
        </w:rPr>
        <w:t xml:space="preserve">on) were resampled using bilinear interpolation; categorical variables (land cover, water presence) used nearest-neighbour interpolation to avoid producing meaningless intermediate class values. All layers were then clipped to the </w:t>
      </w:r>
      <w:proofErr w:type="spellStart"/>
      <w:r w:rsidRPr="00970D98">
        <w:rPr>
          <w:sz w:val="22"/>
          <w:szCs w:val="22"/>
        </w:rPr>
        <w:t>Adamaoua</w:t>
      </w:r>
      <w:proofErr w:type="spellEnd"/>
      <w:r w:rsidRPr="00970D98">
        <w:rPr>
          <w:sz w:val="22"/>
          <w:szCs w:val="22"/>
        </w:rPr>
        <w:t xml:space="preserve"> boundary, and a </w:t>
      </w:r>
      <w:r w:rsidRPr="00970D98">
        <w:rPr>
          <w:sz w:val="22"/>
          <w:szCs w:val="22"/>
        </w:rPr>
        <w:t>distance-to-water raster was computed using a Euclidean distance transform.</w:t>
      </w:r>
    </w:p>
    <w:p w:rsidR="00FA6AB5" w:rsidRPr="00970D98" w:rsidRDefault="00E91FBE">
      <w:pPr>
        <w:pStyle w:val="Heading2"/>
        <w:spacing w:before="160" w:after="70"/>
        <w:rPr>
          <w:sz w:val="22"/>
          <w:szCs w:val="22"/>
        </w:rPr>
      </w:pPr>
      <w:r w:rsidRPr="00970D98">
        <w:rPr>
          <w:b/>
          <w:bCs/>
          <w:color w:val="1E5631"/>
          <w:sz w:val="22"/>
          <w:szCs w:val="22"/>
        </w:rPr>
        <w:t>6.3 Biomass Estimation and Vegetation Analysis</w:t>
      </w:r>
    </w:p>
    <w:p w:rsidR="00FA6AB5" w:rsidRPr="00970D98" w:rsidRDefault="00E91FBE">
      <w:pPr>
        <w:spacing w:after="95" w:line="276" w:lineRule="auto"/>
        <w:rPr>
          <w:sz w:val="22"/>
          <w:szCs w:val="22"/>
        </w:rPr>
      </w:pPr>
      <w:r w:rsidRPr="00970D98">
        <w:rPr>
          <w:sz w:val="22"/>
          <w:szCs w:val="22"/>
        </w:rPr>
        <w:t>Above-ground forage biomass was estimated from NDVI using the Sahelian regression formula: AGB (kg DM/ha) = 3500 × NDVI − 250, clippe</w:t>
      </w:r>
      <w:r w:rsidRPr="00970D98">
        <w:rPr>
          <w:sz w:val="22"/>
          <w:szCs w:val="22"/>
        </w:rPr>
        <w:t>d to a minimum of zero. Ten-year monthly climatology (mean, minimum, maximum, standard deviation) was computed to characterise the region's typical seasonal cycle, and yearly NDVI anomalies were calculated relative to that climatology to identify drought y</w:t>
      </w:r>
      <w:r w:rsidRPr="00970D98">
        <w:rPr>
          <w:sz w:val="22"/>
          <w:szCs w:val="22"/>
        </w:rPr>
        <w:t>ears. A rainfall-to-NDVI lag correlation analysis confirmed the expected biological delay between rainfall and vegetation response.</w:t>
      </w:r>
    </w:p>
    <w:p w:rsidR="00FA6AB5" w:rsidRPr="00970D98" w:rsidRDefault="00E91FBE">
      <w:pPr>
        <w:pStyle w:val="Heading2"/>
        <w:spacing w:before="160" w:after="70"/>
        <w:rPr>
          <w:sz w:val="22"/>
          <w:szCs w:val="22"/>
        </w:rPr>
      </w:pPr>
      <w:r w:rsidRPr="00970D98">
        <w:rPr>
          <w:b/>
          <w:bCs/>
          <w:color w:val="1E5631"/>
          <w:sz w:val="22"/>
          <w:szCs w:val="22"/>
        </w:rPr>
        <w:t>6.4 Suitability Mapping and Zone Delineation</w:t>
      </w:r>
    </w:p>
    <w:p w:rsidR="00FA6AB5" w:rsidRPr="00970D98" w:rsidRDefault="00E91FBE">
      <w:pPr>
        <w:spacing w:after="95" w:line="276" w:lineRule="auto"/>
        <w:rPr>
          <w:sz w:val="22"/>
          <w:szCs w:val="22"/>
        </w:rPr>
      </w:pPr>
      <w:r w:rsidRPr="00970D98">
        <w:rPr>
          <w:sz w:val="22"/>
          <w:szCs w:val="22"/>
        </w:rPr>
        <w:t>A composite 0–100 suitability score was computed per pixel per month as a weigh</w:t>
      </w:r>
      <w:r w:rsidRPr="00970D98">
        <w:rPr>
          <w:sz w:val="22"/>
          <w:szCs w:val="22"/>
        </w:rPr>
        <w:t xml:space="preserve">ted linear combination: 35% biomass, 20% NDVI, 20% rainfall, 15% water proximity, 5% slope, and 5% population pressure, with each input layer normalised to a common 0–1 scale. Hard exclusions were applied for cropland, built-up areas, dense forest, slopes </w:t>
      </w:r>
      <w:r w:rsidRPr="00970D98">
        <w:rPr>
          <w:sz w:val="22"/>
          <w:szCs w:val="22"/>
        </w:rPr>
        <w:t xml:space="preserve">exceeding 25°, and population densities above 300 people/km². Discrete grazing zones were then delineated from the smoothed suitability surface using 4-connectivity connected-component labelling with a minimum area of 5 km², producing 104 zones across the </w:t>
      </w:r>
      <w:r w:rsidRPr="00970D98">
        <w:rPr>
          <w:sz w:val="22"/>
          <w:szCs w:val="22"/>
        </w:rPr>
        <w:t xml:space="preserve">region, each classified as High, Moderate, Low, or </w:t>
      </w:r>
      <w:r w:rsidRPr="00970D98">
        <w:rPr>
          <w:sz w:val="22"/>
          <w:szCs w:val="22"/>
        </w:rPr>
        <w:lastRenderedPageBreak/>
        <w:t>Unsuitable and attributed with area, centroid location, best and worst months, and estimated peak and minimum stocking capacity.</w:t>
      </w:r>
    </w:p>
    <w:p w:rsidR="00FA6AB5" w:rsidRPr="00970D98" w:rsidRDefault="00E91FBE">
      <w:pPr>
        <w:pStyle w:val="Heading2"/>
        <w:spacing w:before="160" w:after="70"/>
        <w:rPr>
          <w:sz w:val="22"/>
          <w:szCs w:val="22"/>
        </w:rPr>
      </w:pPr>
      <w:r w:rsidRPr="00970D98">
        <w:rPr>
          <w:b/>
          <w:bCs/>
          <w:color w:val="1E5631"/>
          <w:sz w:val="22"/>
          <w:szCs w:val="22"/>
        </w:rPr>
        <w:t>6.5 Carrying Capacity Engine</w:t>
      </w:r>
    </w:p>
    <w:p w:rsidR="00FA6AB5" w:rsidRPr="00970D98" w:rsidRDefault="00E91FBE">
      <w:pPr>
        <w:spacing w:after="95" w:line="276" w:lineRule="auto"/>
        <w:rPr>
          <w:sz w:val="22"/>
          <w:szCs w:val="22"/>
        </w:rPr>
      </w:pPr>
      <w:r w:rsidRPr="00970D98">
        <w:rPr>
          <w:sz w:val="22"/>
          <w:szCs w:val="22"/>
        </w:rPr>
        <w:t>Each zone's sustainable monthly stocking capaci</w:t>
      </w:r>
      <w:r w:rsidRPr="00970D98">
        <w:rPr>
          <w:sz w:val="22"/>
          <w:szCs w:val="22"/>
        </w:rPr>
        <w:t>ty was calculated in Tropical Livestock Units (TLU), where 1 TLU is defined as a 250 kg adult zebu consuming 187.5 kg of dry matter per month, with a maximum sustainable utilisation rate of 40% of standing biomass. Standard conversion factors allow cattle,</w:t>
      </w:r>
      <w:r w:rsidRPr="00970D98">
        <w:rPr>
          <w:sz w:val="22"/>
          <w:szCs w:val="22"/>
        </w:rPr>
        <w:t xml:space="preserve"> camels, horses, donkeys, and sheep/goats to be evaluated on a common scale. A query engine was built to answer three core questions for any zone, month, and herd: whether a specific zone can sustain a specific herd; which zones, region-wide, can sustain a</w:t>
      </w:r>
      <w:r w:rsidRPr="00970D98">
        <w:rPr>
          <w:sz w:val="22"/>
          <w:szCs w:val="22"/>
        </w:rPr>
        <w:t xml:space="preserve"> given herd in a given month, ranked by spare capacity; and each zone's seasonal calendar of best and worst months.</w:t>
      </w:r>
    </w:p>
    <w:p w:rsidR="00FA6AB5" w:rsidRPr="00970D98" w:rsidRDefault="00E91FBE">
      <w:pPr>
        <w:pStyle w:val="Heading2"/>
        <w:spacing w:before="160" w:after="70"/>
        <w:rPr>
          <w:sz w:val="22"/>
          <w:szCs w:val="22"/>
        </w:rPr>
      </w:pPr>
      <w:r w:rsidRPr="00970D98">
        <w:rPr>
          <w:b/>
          <w:bCs/>
          <w:color w:val="1E5631"/>
          <w:sz w:val="22"/>
          <w:szCs w:val="22"/>
        </w:rPr>
        <w:t>6.6 Route Optimisation</w:t>
      </w:r>
    </w:p>
    <w:p w:rsidR="00FA6AB5" w:rsidRPr="00970D98" w:rsidRDefault="00E91FBE">
      <w:pPr>
        <w:spacing w:after="95" w:line="276" w:lineRule="auto"/>
        <w:rPr>
          <w:sz w:val="22"/>
          <w:szCs w:val="22"/>
        </w:rPr>
      </w:pPr>
      <w:r w:rsidRPr="00970D98">
        <w:rPr>
          <w:sz w:val="22"/>
          <w:szCs w:val="22"/>
        </w:rPr>
        <w:t>A weighted cost surface was constructed by combining inverse suitability, slope, distance to water, and OpenStreetMap</w:t>
      </w:r>
      <w:r w:rsidRPr="00970D98">
        <w:rPr>
          <w:sz w:val="22"/>
          <w:szCs w:val="22"/>
        </w:rPr>
        <w:t xml:space="preserve"> road-type bonuses (with unpaved tracks favoured as traditional herding routes), while cropland and settlements were treated as near-impassable barriers. This surface was converted into an 8-connectivity graph of approximately 61,000 nodes and 240,000 edge</w:t>
      </w:r>
      <w:r w:rsidRPr="00970D98">
        <w:rPr>
          <w:sz w:val="22"/>
          <w:szCs w:val="22"/>
        </w:rPr>
        <w:t xml:space="preserve">s. Dijkstra's algorithm identifies the nearest zone capable of sustaining a given herd — prioritising distance first, with zone quality used only to break genuine ties — and Yen's k-shortest-paths algorithm generates several distinct alternative routes to </w:t>
      </w:r>
      <w:r w:rsidRPr="00970D98">
        <w:rPr>
          <w:sz w:val="22"/>
          <w:szCs w:val="22"/>
        </w:rPr>
        <w:t>that zone, with the lowest-cost path (which already favours water access and avoids farmland and steep terrain) marked as the recommended route. Minor pasture patches and permanent water points falling within a defined corridor of the recommended route are</w:t>
      </w:r>
      <w:r w:rsidRPr="00970D98">
        <w:rPr>
          <w:sz w:val="22"/>
          <w:szCs w:val="22"/>
        </w:rPr>
        <w:t xml:space="preserve"> also surfaced, each connected to the route by a visual indicator on the map.</w:t>
      </w:r>
    </w:p>
    <w:p w:rsidR="00FA6AB5" w:rsidRPr="00970D98" w:rsidRDefault="00E91FBE">
      <w:pPr>
        <w:pStyle w:val="Heading2"/>
        <w:spacing w:before="160" w:after="70"/>
        <w:rPr>
          <w:sz w:val="22"/>
          <w:szCs w:val="22"/>
        </w:rPr>
      </w:pPr>
      <w:r w:rsidRPr="00970D98">
        <w:rPr>
          <w:b/>
          <w:bCs/>
          <w:color w:val="1E5631"/>
          <w:sz w:val="22"/>
          <w:szCs w:val="22"/>
        </w:rPr>
        <w:t>6.7 Machine Learning Forecasting</w:t>
      </w:r>
    </w:p>
    <w:p w:rsidR="00FA6AB5" w:rsidRPr="00970D98" w:rsidRDefault="00E91FBE">
      <w:pPr>
        <w:spacing w:after="95" w:line="276" w:lineRule="auto"/>
        <w:rPr>
          <w:sz w:val="22"/>
          <w:szCs w:val="22"/>
        </w:rPr>
      </w:pPr>
      <w:r w:rsidRPr="00970D98">
        <w:rPr>
          <w:sz w:val="22"/>
          <w:szCs w:val="22"/>
        </w:rPr>
        <w:t>Three model families were trained to predict next-month biomass from lagged NDVI and rainfall (one and two months prior), static terrain features</w:t>
      </w:r>
      <w:r w:rsidRPr="00970D98">
        <w:rPr>
          <w:sz w:val="22"/>
          <w:szCs w:val="22"/>
        </w:rPr>
        <w:t xml:space="preserve">, and cyclically encoded calendar month: Random Forest, </w:t>
      </w:r>
      <w:proofErr w:type="spellStart"/>
      <w:r w:rsidRPr="00970D98">
        <w:rPr>
          <w:sz w:val="22"/>
          <w:szCs w:val="22"/>
        </w:rPr>
        <w:t>XGBoost</w:t>
      </w:r>
      <w:proofErr w:type="spellEnd"/>
      <w:r w:rsidRPr="00970D98">
        <w:rPr>
          <w:sz w:val="22"/>
          <w:szCs w:val="22"/>
        </w:rPr>
        <w:t xml:space="preserve">, and a Long Short-Term Memory (LSTM) recurrent neural network. Models were trained on 2016–2024 data and evaluated on the fully held-out year 2025 to simulate genuine forecasting performance. </w:t>
      </w:r>
      <w:r w:rsidRPr="00970D98">
        <w:rPr>
          <w:sz w:val="22"/>
          <w:szCs w:val="22"/>
        </w:rPr>
        <w:t>The LSTM achieved the strongest result (R² = 0.75), attributed to its ability to process NDVI and rainfall as an ordered sequence and capture directional trends, rather than treating lagged values as independent snapshots. Performance stability was further</w:t>
      </w:r>
      <w:r w:rsidRPr="00970D98">
        <w:rPr>
          <w:sz w:val="22"/>
          <w:szCs w:val="22"/>
        </w:rPr>
        <w:t xml:space="preserve"> confirmed through temporal cross-validation (four representative years, mean R² = 0.81) and spatial cross-validation (four geographic quadrants, mean R² = 0.84), both showing low variance across folds. The trained LSTM was subsequently used to generate a </w:t>
      </w:r>
      <w:r w:rsidRPr="00970D98">
        <w:rPr>
          <w:sz w:val="22"/>
          <w:szCs w:val="22"/>
        </w:rPr>
        <w:t>rolling three-month forward biomass forecast.</w:t>
      </w:r>
    </w:p>
    <w:p w:rsidR="00FA6AB5" w:rsidRPr="00970D98" w:rsidRDefault="00E91FBE">
      <w:pPr>
        <w:pStyle w:val="Heading2"/>
        <w:spacing w:before="160" w:after="70"/>
        <w:rPr>
          <w:sz w:val="22"/>
          <w:szCs w:val="22"/>
        </w:rPr>
      </w:pPr>
      <w:r w:rsidRPr="00970D98">
        <w:rPr>
          <w:b/>
          <w:bCs/>
          <w:color w:val="1E5631"/>
          <w:sz w:val="22"/>
          <w:szCs w:val="22"/>
        </w:rPr>
        <w:t>6.8 Web Application Development</w:t>
      </w:r>
    </w:p>
    <w:p w:rsidR="00FA6AB5" w:rsidRPr="00970D98" w:rsidRDefault="00E91FBE">
      <w:pPr>
        <w:spacing w:after="95" w:line="276" w:lineRule="auto"/>
        <w:rPr>
          <w:sz w:val="22"/>
          <w:szCs w:val="22"/>
        </w:rPr>
      </w:pPr>
      <w:r w:rsidRPr="00970D98">
        <w:rPr>
          <w:sz w:val="22"/>
          <w:szCs w:val="22"/>
        </w:rPr>
        <w:t xml:space="preserve">The Django backend loads all processed zone, capacity, cost-surface, and forecast data into memory once at server </w:t>
      </w:r>
      <w:proofErr w:type="spellStart"/>
      <w:r w:rsidRPr="00970D98">
        <w:rPr>
          <w:sz w:val="22"/>
          <w:szCs w:val="22"/>
        </w:rPr>
        <w:t>startup</w:t>
      </w:r>
      <w:proofErr w:type="spellEnd"/>
      <w:r w:rsidRPr="00970D98">
        <w:rPr>
          <w:sz w:val="22"/>
          <w:szCs w:val="22"/>
        </w:rPr>
        <w:t xml:space="preserve">, enabling fast, file-I/O-free API responses. Three REST </w:t>
      </w:r>
      <w:r w:rsidRPr="00970D98">
        <w:rPr>
          <w:sz w:val="22"/>
          <w:szCs w:val="22"/>
        </w:rPr>
        <w:t>endpoints are exposed: route and zone recommendation, individual zone detail lookup, and biomass forecasting. The Leaflet.js frontend allows GPS-based or manual location selection, automatically detects the current month from the user's device, and renders</w:t>
      </w:r>
      <w:r w:rsidRPr="00970D98">
        <w:rPr>
          <w:sz w:val="22"/>
          <w:szCs w:val="22"/>
        </w:rPr>
        <w:t xml:space="preserve"> the recommended zone, multiple route alternatives with the best route visually highlighted, and nearby minor pasture patches and water points. A service worker caches the application shell for offline loading, with the most recent successful route persist</w:t>
      </w:r>
      <w:r w:rsidRPr="00970D98">
        <w:rPr>
          <w:sz w:val="22"/>
          <w:szCs w:val="22"/>
        </w:rPr>
        <w:t>ed via browser local storage so it remains viewable without a network connection. The interface follows a consistent dark-green, white, and light-green colour scheme throughout.</w:t>
      </w:r>
    </w:p>
    <w:p w:rsidR="00FA6AB5" w:rsidRDefault="00E91FBE">
      <w:pPr>
        <w:pStyle w:val="Heading1"/>
        <w:pBdr>
          <w:bottom w:val="single" w:sz="6" w:space="4" w:color="1E5631"/>
        </w:pBdr>
        <w:spacing w:before="240" w:after="110"/>
      </w:pPr>
      <w:r>
        <w:rPr>
          <w:b/>
          <w:bCs/>
          <w:color w:val="1E5631"/>
          <w:sz w:val="25"/>
          <w:szCs w:val="25"/>
        </w:rPr>
        <w:t>7. Key Results</w:t>
      </w:r>
    </w:p>
    <w:p w:rsidR="00FA6AB5" w:rsidRPr="00970D98" w:rsidRDefault="00E91FBE">
      <w:pPr>
        <w:pStyle w:val="ListParagraph"/>
        <w:numPr>
          <w:ilvl w:val="0"/>
          <w:numId w:val="2"/>
        </w:numPr>
        <w:spacing w:after="35" w:line="264" w:lineRule="auto"/>
        <w:rPr>
          <w:sz w:val="24"/>
          <w:szCs w:val="24"/>
        </w:rPr>
      </w:pPr>
      <w:r w:rsidRPr="00970D98">
        <w:rPr>
          <w:sz w:val="24"/>
          <w:szCs w:val="24"/>
        </w:rPr>
        <w:t xml:space="preserve">104 grazing zones delineated and classified across the Adamawa </w:t>
      </w:r>
      <w:r w:rsidRPr="00970D98">
        <w:rPr>
          <w:sz w:val="24"/>
          <w:szCs w:val="24"/>
        </w:rPr>
        <w:t>Region from ten years of satellite data.</w:t>
      </w:r>
    </w:p>
    <w:p w:rsidR="00FA6AB5" w:rsidRPr="00970D98" w:rsidRDefault="00E91FBE">
      <w:pPr>
        <w:pStyle w:val="ListParagraph"/>
        <w:numPr>
          <w:ilvl w:val="0"/>
          <w:numId w:val="2"/>
        </w:numPr>
        <w:spacing w:after="35" w:line="264" w:lineRule="auto"/>
        <w:rPr>
          <w:sz w:val="24"/>
          <w:szCs w:val="24"/>
        </w:rPr>
      </w:pPr>
      <w:r w:rsidRPr="00970D98">
        <w:rPr>
          <w:sz w:val="24"/>
          <w:szCs w:val="24"/>
        </w:rPr>
        <w:t>A fully operational carrying-capacity engine covering six livestock types across all twelve calendar months.</w:t>
      </w:r>
    </w:p>
    <w:p w:rsidR="00FA6AB5" w:rsidRPr="00970D98" w:rsidRDefault="00E91FBE">
      <w:pPr>
        <w:pStyle w:val="ListParagraph"/>
        <w:numPr>
          <w:ilvl w:val="0"/>
          <w:numId w:val="2"/>
        </w:numPr>
        <w:spacing w:after="35" w:line="264" w:lineRule="auto"/>
        <w:rPr>
          <w:sz w:val="24"/>
          <w:szCs w:val="24"/>
        </w:rPr>
      </w:pPr>
      <w:r w:rsidRPr="00970D98">
        <w:rPr>
          <w:sz w:val="24"/>
          <w:szCs w:val="24"/>
        </w:rPr>
        <w:t>A validated cost-aware routing engine (~61,000 nodes, ~240,000 edges) that correctly avoids cropland and s</w:t>
      </w:r>
      <w:r w:rsidRPr="00970D98">
        <w:rPr>
          <w:sz w:val="24"/>
          <w:szCs w:val="24"/>
        </w:rPr>
        <w:t>ettlement barriers and favours water access.</w:t>
      </w:r>
    </w:p>
    <w:p w:rsidR="00FA6AB5" w:rsidRPr="00970D98" w:rsidRDefault="00E91FBE">
      <w:pPr>
        <w:pStyle w:val="ListParagraph"/>
        <w:numPr>
          <w:ilvl w:val="0"/>
          <w:numId w:val="2"/>
        </w:numPr>
        <w:spacing w:after="35" w:line="264" w:lineRule="auto"/>
        <w:rPr>
          <w:sz w:val="24"/>
          <w:szCs w:val="24"/>
        </w:rPr>
      </w:pPr>
      <w:r w:rsidRPr="00970D98">
        <w:rPr>
          <w:sz w:val="24"/>
          <w:szCs w:val="24"/>
        </w:rPr>
        <w:lastRenderedPageBreak/>
        <w:t>Three machine learning models trained and rigorously compared; the selected LSTM model achieved R² = 0.75 on a genuinely unseen year, with cross-validation confirming stable generalisation across both time (R² =</w:t>
      </w:r>
      <w:r w:rsidRPr="00970D98">
        <w:rPr>
          <w:sz w:val="24"/>
          <w:szCs w:val="24"/>
        </w:rPr>
        <w:t xml:space="preserve"> 0.81) and geography (R² = 0.84).</w:t>
      </w:r>
    </w:p>
    <w:p w:rsidR="00FA6AB5" w:rsidRPr="00970D98" w:rsidRDefault="00E91FBE">
      <w:pPr>
        <w:pStyle w:val="ListParagraph"/>
        <w:numPr>
          <w:ilvl w:val="0"/>
          <w:numId w:val="2"/>
        </w:numPr>
        <w:spacing w:after="35" w:line="264" w:lineRule="auto"/>
        <w:rPr>
          <w:sz w:val="24"/>
          <w:szCs w:val="24"/>
        </w:rPr>
      </w:pPr>
      <w:r w:rsidRPr="00970D98">
        <w:rPr>
          <w:sz w:val="24"/>
          <w:szCs w:val="24"/>
        </w:rPr>
        <w:t>A fully deployed, mobile-responsive web application integrating every stage of the pipeline into a single real-time, GPS-enabled decision-support tool.</w:t>
      </w:r>
    </w:p>
    <w:p w:rsidR="00FA6AB5" w:rsidRDefault="00E91FBE">
      <w:pPr>
        <w:pStyle w:val="Heading1"/>
        <w:pBdr>
          <w:bottom w:val="single" w:sz="6" w:space="4" w:color="1E5631"/>
        </w:pBdr>
        <w:spacing w:before="240" w:after="110"/>
      </w:pPr>
      <w:r>
        <w:rPr>
          <w:b/>
          <w:bCs/>
          <w:color w:val="1E5631"/>
          <w:sz w:val="25"/>
          <w:szCs w:val="25"/>
        </w:rPr>
        <w:t>8. Testing, Debugging, and Validation</w:t>
      </w:r>
    </w:p>
    <w:p w:rsidR="00FA6AB5" w:rsidRPr="00970D98" w:rsidRDefault="00E91FBE">
      <w:pPr>
        <w:spacing w:after="95" w:line="276" w:lineRule="auto"/>
        <w:rPr>
          <w:sz w:val="24"/>
          <w:szCs w:val="24"/>
        </w:rPr>
      </w:pPr>
      <w:r w:rsidRPr="00970D98">
        <w:rPr>
          <w:sz w:val="24"/>
          <w:szCs w:val="24"/>
        </w:rPr>
        <w:t>Rigorous testing was applied thr</w:t>
      </w:r>
      <w:r w:rsidRPr="00970D98">
        <w:rPr>
          <w:sz w:val="24"/>
          <w:szCs w:val="24"/>
        </w:rPr>
        <w:t>oughout development. Zone delineation parameters were tuned through a systematic grid search after an initial run produced an unrealistic 298 zones, converging on settings that produced a defensible 104. A month-name string mismatch that silently caused ev</w:t>
      </w:r>
      <w:r w:rsidRPr="00970D98">
        <w:rPr>
          <w:sz w:val="24"/>
          <w:szCs w:val="24"/>
        </w:rPr>
        <w:t>ery capacity query to fail was diagnosed and fixed with a normalisation layer accepting numeric, abbreviated, and full-word month input. Model performance was validated not only on a single held-out year but through both temporal and spatial cross-validati</w:t>
      </w:r>
      <w:r w:rsidRPr="00970D98">
        <w:rPr>
          <w:sz w:val="24"/>
          <w:szCs w:val="24"/>
        </w:rPr>
        <w:t xml:space="preserve">on, guarding against the risk of the model appearing accurate purely by chance on one split. Frontend and backend integration issues — including a mismatched template directory name and an overly broad error handler that had been masking a rendering bug — </w:t>
      </w:r>
      <w:r w:rsidRPr="00970D98">
        <w:rPr>
          <w:sz w:val="24"/>
          <w:szCs w:val="24"/>
        </w:rPr>
        <w:t>were diagnosed systematically using browser developer tools and Django server logs rather than by guesswork.</w:t>
      </w:r>
    </w:p>
    <w:p w:rsidR="00FA6AB5" w:rsidRDefault="00E91FBE">
      <w:pPr>
        <w:pStyle w:val="Heading1"/>
        <w:pBdr>
          <w:bottom w:val="single" w:sz="6" w:space="4" w:color="1E5631"/>
        </w:pBdr>
        <w:spacing w:before="240" w:after="110"/>
      </w:pPr>
      <w:r>
        <w:rPr>
          <w:b/>
          <w:bCs/>
          <w:color w:val="1E5631"/>
          <w:sz w:val="25"/>
          <w:szCs w:val="25"/>
        </w:rPr>
        <w:t>9. Limitations</w:t>
      </w:r>
    </w:p>
    <w:p w:rsidR="00FA6AB5" w:rsidRPr="00970D98" w:rsidRDefault="00E91FBE">
      <w:pPr>
        <w:spacing w:after="95" w:line="276" w:lineRule="auto"/>
        <w:rPr>
          <w:sz w:val="24"/>
          <w:szCs w:val="24"/>
        </w:rPr>
      </w:pPr>
      <w:r w:rsidRPr="00970D98">
        <w:rPr>
          <w:sz w:val="24"/>
          <w:szCs w:val="24"/>
        </w:rPr>
        <w:t>The biomass model is derived from a published NDVI regression formula and has not been validated against field-collected forage samp</w:t>
      </w:r>
      <w:r w:rsidRPr="00970D98">
        <w:rPr>
          <w:sz w:val="24"/>
          <w:szCs w:val="24"/>
        </w:rPr>
        <w:t>les specific to Adamawa. Suitability and routing weights reflect literature-informed judgement rather than statistically fitted coefficients. The assumed herd walking speed (15 km/day) used to estimate travel time has not been empirically validated against</w:t>
      </w:r>
      <w:r w:rsidRPr="00970D98">
        <w:rPr>
          <w:sz w:val="24"/>
          <w:szCs w:val="24"/>
        </w:rPr>
        <w:t xml:space="preserve"> real herder movement patterns. Biomass forecasting assumes rainfall conditions similar to the most recently observed month, since no true future rainfall forecast is incorporated into the model. The application does not currently implement user authentica</w:t>
      </w:r>
      <w:r w:rsidRPr="00970D98">
        <w:rPr>
          <w:sz w:val="24"/>
          <w:szCs w:val="24"/>
        </w:rPr>
        <w:t>tion or persistent storage of past route requests.</w:t>
      </w:r>
    </w:p>
    <w:p w:rsidR="00FA6AB5" w:rsidRDefault="00E91FBE">
      <w:pPr>
        <w:pStyle w:val="Heading1"/>
        <w:pBdr>
          <w:bottom w:val="single" w:sz="6" w:space="4" w:color="1E5631"/>
        </w:pBdr>
        <w:spacing w:before="240" w:after="110"/>
      </w:pPr>
      <w:r>
        <w:rPr>
          <w:b/>
          <w:bCs/>
          <w:color w:val="1E5631"/>
          <w:sz w:val="25"/>
          <w:szCs w:val="25"/>
        </w:rPr>
        <w:t>10. Future Work</w:t>
      </w:r>
    </w:p>
    <w:p w:rsidR="00FA6AB5" w:rsidRPr="00970D98" w:rsidRDefault="00E91FBE">
      <w:pPr>
        <w:pStyle w:val="ListParagraph"/>
        <w:numPr>
          <w:ilvl w:val="0"/>
          <w:numId w:val="2"/>
        </w:numPr>
        <w:spacing w:after="35" w:line="264" w:lineRule="auto"/>
        <w:rPr>
          <w:sz w:val="24"/>
          <w:szCs w:val="24"/>
        </w:rPr>
      </w:pPr>
      <w:r w:rsidRPr="00970D98">
        <w:rPr>
          <w:sz w:val="24"/>
          <w:szCs w:val="24"/>
        </w:rPr>
        <w:t>Field validation of the biomass regression model against locally collected forage samples.</w:t>
      </w:r>
    </w:p>
    <w:p w:rsidR="00FA6AB5" w:rsidRPr="00970D98" w:rsidRDefault="00E91FBE">
      <w:pPr>
        <w:pStyle w:val="ListParagraph"/>
        <w:numPr>
          <w:ilvl w:val="0"/>
          <w:numId w:val="2"/>
        </w:numPr>
        <w:spacing w:after="35" w:line="264" w:lineRule="auto"/>
        <w:rPr>
          <w:sz w:val="24"/>
          <w:szCs w:val="24"/>
        </w:rPr>
      </w:pPr>
      <w:r w:rsidRPr="00970D98">
        <w:rPr>
          <w:sz w:val="24"/>
          <w:szCs w:val="24"/>
        </w:rPr>
        <w:t>Sensitivity analysis on suitability and routing weight assumptions.</w:t>
      </w:r>
    </w:p>
    <w:p w:rsidR="00FA6AB5" w:rsidRPr="00970D98" w:rsidRDefault="00E91FBE">
      <w:pPr>
        <w:pStyle w:val="ListParagraph"/>
        <w:numPr>
          <w:ilvl w:val="0"/>
          <w:numId w:val="2"/>
        </w:numPr>
        <w:spacing w:after="35" w:line="264" w:lineRule="auto"/>
        <w:rPr>
          <w:sz w:val="24"/>
          <w:szCs w:val="24"/>
        </w:rPr>
      </w:pPr>
      <w:r w:rsidRPr="00970D98">
        <w:rPr>
          <w:sz w:val="24"/>
          <w:szCs w:val="24"/>
        </w:rPr>
        <w:t>A regrowth-aware grazing duration model, combining the ML biomass forecast with sustained-grazing simulation rather than a static depletion estimate.</w:t>
      </w:r>
    </w:p>
    <w:p w:rsidR="00FA6AB5" w:rsidRPr="00970D98" w:rsidRDefault="00E91FBE">
      <w:pPr>
        <w:pStyle w:val="ListParagraph"/>
        <w:numPr>
          <w:ilvl w:val="0"/>
          <w:numId w:val="2"/>
        </w:numPr>
        <w:spacing w:after="35" w:line="264" w:lineRule="auto"/>
        <w:rPr>
          <w:sz w:val="24"/>
          <w:szCs w:val="24"/>
        </w:rPr>
      </w:pPr>
      <w:r w:rsidRPr="00970D98">
        <w:rPr>
          <w:sz w:val="24"/>
          <w:szCs w:val="24"/>
        </w:rPr>
        <w:t>User accounts and persistent route his</w:t>
      </w:r>
      <w:r w:rsidRPr="00970D98">
        <w:rPr>
          <w:sz w:val="24"/>
          <w:szCs w:val="24"/>
        </w:rPr>
        <w:t>tory.</w:t>
      </w:r>
    </w:p>
    <w:p w:rsidR="00FA6AB5" w:rsidRPr="00970D98" w:rsidRDefault="00E91FBE">
      <w:pPr>
        <w:pStyle w:val="ListParagraph"/>
        <w:numPr>
          <w:ilvl w:val="0"/>
          <w:numId w:val="2"/>
        </w:numPr>
        <w:spacing w:after="35" w:line="264" w:lineRule="auto"/>
        <w:rPr>
          <w:sz w:val="24"/>
          <w:szCs w:val="24"/>
        </w:rPr>
      </w:pPr>
      <w:r w:rsidRPr="00970D98">
        <w:rPr>
          <w:sz w:val="24"/>
          <w:szCs w:val="24"/>
        </w:rPr>
        <w:t>Deployment to a production hosting environment beyond local development.</w:t>
      </w:r>
    </w:p>
    <w:p w:rsidR="00FA6AB5" w:rsidRDefault="00E91FBE">
      <w:pPr>
        <w:pStyle w:val="Heading1"/>
        <w:pBdr>
          <w:bottom w:val="single" w:sz="6" w:space="4" w:color="1E5631"/>
        </w:pBdr>
        <w:spacing w:before="240" w:after="110"/>
      </w:pPr>
      <w:r>
        <w:rPr>
          <w:b/>
          <w:bCs/>
          <w:color w:val="1E5631"/>
          <w:sz w:val="25"/>
          <w:szCs w:val="25"/>
        </w:rPr>
        <w:t>11. User Workflow</w:t>
      </w:r>
    </w:p>
    <w:p w:rsidR="00FA6AB5" w:rsidRPr="00970D98" w:rsidRDefault="00E91FBE">
      <w:pPr>
        <w:spacing w:after="95" w:line="276" w:lineRule="auto"/>
        <w:rPr>
          <w:sz w:val="24"/>
          <w:szCs w:val="24"/>
        </w:rPr>
      </w:pPr>
      <w:r w:rsidRPr="00970D98">
        <w:rPr>
          <w:sz w:val="24"/>
          <w:szCs w:val="24"/>
        </w:rPr>
        <w:t>From the end user's perspective, interacting with the system follows five simple steps, regardless of the complexity operating behind them:</w:t>
      </w:r>
    </w:p>
    <w:p w:rsidR="00FA6AB5" w:rsidRPr="00970D98" w:rsidRDefault="00E91FBE" w:rsidP="00970D98">
      <w:pPr>
        <w:spacing w:after="35" w:line="264" w:lineRule="auto"/>
        <w:ind w:left="144"/>
        <w:rPr>
          <w:sz w:val="24"/>
          <w:szCs w:val="24"/>
        </w:rPr>
      </w:pPr>
      <w:r w:rsidRPr="00970D98">
        <w:rPr>
          <w:sz w:val="24"/>
          <w:szCs w:val="24"/>
        </w:rPr>
        <w:t>1. Open the web app</w:t>
      </w:r>
      <w:r w:rsidRPr="00970D98">
        <w:rPr>
          <w:sz w:val="24"/>
          <w:szCs w:val="24"/>
        </w:rPr>
        <w:t>lication in a mobile or desktop browser.</w:t>
      </w:r>
    </w:p>
    <w:p w:rsidR="00FA6AB5" w:rsidRPr="00970D98" w:rsidRDefault="00E91FBE" w:rsidP="00970D98">
      <w:pPr>
        <w:spacing w:after="35" w:line="264" w:lineRule="auto"/>
        <w:ind w:left="144"/>
        <w:rPr>
          <w:sz w:val="24"/>
          <w:szCs w:val="24"/>
        </w:rPr>
      </w:pPr>
      <w:r w:rsidRPr="00970D98">
        <w:rPr>
          <w:sz w:val="24"/>
          <w:szCs w:val="24"/>
        </w:rPr>
        <w:t>2. Set a location, either by allowing GPS access or tapping a point on the map.</w:t>
      </w:r>
    </w:p>
    <w:p w:rsidR="00FA6AB5" w:rsidRPr="00970D98" w:rsidRDefault="00E91FBE" w:rsidP="00970D98">
      <w:pPr>
        <w:spacing w:after="35" w:line="264" w:lineRule="auto"/>
        <w:ind w:left="144"/>
        <w:rPr>
          <w:sz w:val="24"/>
          <w:szCs w:val="24"/>
        </w:rPr>
      </w:pPr>
      <w:r w:rsidRPr="00970D98">
        <w:rPr>
          <w:sz w:val="24"/>
          <w:szCs w:val="24"/>
        </w:rPr>
        <w:t xml:space="preserve">3. Enter the herd size and select the livestock type from a dropdown list; the current month is detected automatically from the device </w:t>
      </w:r>
      <w:r w:rsidRPr="00970D98">
        <w:rPr>
          <w:sz w:val="24"/>
          <w:szCs w:val="24"/>
        </w:rPr>
        <w:t>but remains editable.</w:t>
      </w:r>
    </w:p>
    <w:p w:rsidR="00FA6AB5" w:rsidRPr="00970D98" w:rsidRDefault="00E91FBE" w:rsidP="00970D98">
      <w:pPr>
        <w:spacing w:after="35" w:line="264" w:lineRule="auto"/>
        <w:ind w:left="144"/>
        <w:rPr>
          <w:sz w:val="24"/>
          <w:szCs w:val="24"/>
        </w:rPr>
      </w:pPr>
      <w:r w:rsidRPr="00970D98">
        <w:rPr>
          <w:sz w:val="24"/>
          <w:szCs w:val="24"/>
        </w:rPr>
        <w:t>4. Submit the request; the system identifies the nearest grazing zone able to sustain the herd that month and computes several route alternatives to it, together with nearby minor pasture patches and water points.</w:t>
      </w:r>
    </w:p>
    <w:p w:rsidR="00FA6AB5" w:rsidRPr="00970D98" w:rsidRDefault="00E91FBE" w:rsidP="00970D98">
      <w:pPr>
        <w:spacing w:after="35" w:line="264" w:lineRule="auto"/>
        <w:ind w:left="144"/>
        <w:rPr>
          <w:sz w:val="24"/>
          <w:szCs w:val="24"/>
        </w:rPr>
      </w:pPr>
      <w:r w:rsidRPr="00970D98">
        <w:rPr>
          <w:sz w:val="24"/>
          <w:szCs w:val="24"/>
        </w:rPr>
        <w:lastRenderedPageBreak/>
        <w:t>5. Review the result</w:t>
      </w:r>
      <w:r w:rsidRPr="00970D98">
        <w:rPr>
          <w:sz w:val="24"/>
          <w:szCs w:val="24"/>
        </w:rPr>
        <w:t>: a highlighted recommended route, a zone information panel (quality, area, biomass, water proximity, capacity, and surplus), and alternative routes shown in distinct colours for comparison.</w:t>
      </w:r>
    </w:p>
    <w:p w:rsidR="00FA6AB5" w:rsidRPr="00970D98" w:rsidRDefault="00E91FBE">
      <w:pPr>
        <w:spacing w:after="95" w:line="276" w:lineRule="auto"/>
        <w:rPr>
          <w:sz w:val="24"/>
          <w:szCs w:val="24"/>
        </w:rPr>
      </w:pPr>
      <w:r w:rsidRPr="00970D98">
        <w:rPr>
          <w:sz w:val="24"/>
          <w:szCs w:val="24"/>
        </w:rPr>
        <w:t>I</w:t>
      </w:r>
      <w:r w:rsidRPr="00970D98">
        <w:rPr>
          <w:sz w:val="24"/>
          <w:szCs w:val="24"/>
        </w:rPr>
        <w:t>f the device loses network connectivity after at least one succe</w:t>
      </w:r>
      <w:r w:rsidRPr="00970D98">
        <w:rPr>
          <w:sz w:val="24"/>
          <w:szCs w:val="24"/>
        </w:rPr>
        <w:t>ssful query, the application continues to display the most recently retrieved route from locally cached data, rather than failing outright.</w:t>
      </w:r>
    </w:p>
    <w:p w:rsidR="00FA6AB5" w:rsidRDefault="00E91FBE">
      <w:pPr>
        <w:pStyle w:val="Heading1"/>
        <w:pBdr>
          <w:bottom w:val="single" w:sz="6" w:space="4" w:color="1E5631"/>
        </w:pBdr>
        <w:spacing w:before="240" w:after="110"/>
      </w:pPr>
      <w:r>
        <w:rPr>
          <w:b/>
          <w:bCs/>
          <w:color w:val="1E5631"/>
          <w:sz w:val="25"/>
          <w:szCs w:val="25"/>
        </w:rPr>
        <w:t>12. Project Development Timeline</w:t>
      </w:r>
    </w:p>
    <w:p w:rsidR="00FA6AB5" w:rsidRPr="00970D98" w:rsidRDefault="00E91FBE">
      <w:pPr>
        <w:spacing w:after="95" w:line="276" w:lineRule="auto"/>
        <w:rPr>
          <w:sz w:val="24"/>
          <w:szCs w:val="24"/>
        </w:rPr>
      </w:pPr>
      <w:r w:rsidRPr="00970D98">
        <w:rPr>
          <w:sz w:val="24"/>
          <w:szCs w:val="24"/>
        </w:rPr>
        <w:t>Development proceeded through a clear, evidence-based sequence rather than an ad-ho</w:t>
      </w:r>
      <w:r w:rsidRPr="00970D98">
        <w:rPr>
          <w:sz w:val="24"/>
          <w:szCs w:val="24"/>
        </w:rPr>
        <w:t>c process. The system was built in eight major phases, each validated before the next began:</w:t>
      </w:r>
    </w:p>
    <w:p w:rsidR="00FA6AB5" w:rsidRPr="00970D98" w:rsidRDefault="00E91FBE">
      <w:pPr>
        <w:pStyle w:val="ListParagraph"/>
        <w:numPr>
          <w:ilvl w:val="0"/>
          <w:numId w:val="2"/>
        </w:numPr>
        <w:spacing w:after="35" w:line="264" w:lineRule="auto"/>
        <w:rPr>
          <w:sz w:val="24"/>
          <w:szCs w:val="24"/>
        </w:rPr>
      </w:pPr>
      <w:r w:rsidRPr="00970D98">
        <w:rPr>
          <w:sz w:val="24"/>
          <w:szCs w:val="24"/>
        </w:rPr>
        <w:t>Phase 1 — Data acquisition via Google Earth Engine, including recovery from a partial export failure.</w:t>
      </w:r>
    </w:p>
    <w:p w:rsidR="00FA6AB5" w:rsidRPr="00970D98" w:rsidRDefault="00E91FBE">
      <w:pPr>
        <w:pStyle w:val="ListParagraph"/>
        <w:numPr>
          <w:ilvl w:val="0"/>
          <w:numId w:val="2"/>
        </w:numPr>
        <w:spacing w:after="35" w:line="264" w:lineRule="auto"/>
        <w:rPr>
          <w:sz w:val="24"/>
          <w:szCs w:val="24"/>
        </w:rPr>
      </w:pPr>
      <w:r w:rsidRPr="00970D98">
        <w:rPr>
          <w:sz w:val="24"/>
          <w:szCs w:val="24"/>
        </w:rPr>
        <w:t>Phase 2 — Reprojection, resampling, and clipping of all six r</w:t>
      </w:r>
      <w:r w:rsidRPr="00970D98">
        <w:rPr>
          <w:sz w:val="24"/>
          <w:szCs w:val="24"/>
        </w:rPr>
        <w:t>aster layers to a common analysis grid.</w:t>
      </w:r>
    </w:p>
    <w:p w:rsidR="00FA6AB5" w:rsidRPr="00970D98" w:rsidRDefault="00E91FBE">
      <w:pPr>
        <w:pStyle w:val="ListParagraph"/>
        <w:numPr>
          <w:ilvl w:val="0"/>
          <w:numId w:val="2"/>
        </w:numPr>
        <w:spacing w:after="35" w:line="264" w:lineRule="auto"/>
        <w:rPr>
          <w:sz w:val="24"/>
          <w:szCs w:val="24"/>
        </w:rPr>
      </w:pPr>
      <w:r w:rsidRPr="00970D98">
        <w:rPr>
          <w:sz w:val="24"/>
          <w:szCs w:val="24"/>
        </w:rPr>
        <w:t>Phase 3 — Biomass estimation, ten-year climatology, and drought-year anomaly detection.</w:t>
      </w:r>
    </w:p>
    <w:p w:rsidR="00FA6AB5" w:rsidRPr="00970D98" w:rsidRDefault="00E91FBE">
      <w:pPr>
        <w:pStyle w:val="ListParagraph"/>
        <w:numPr>
          <w:ilvl w:val="0"/>
          <w:numId w:val="2"/>
        </w:numPr>
        <w:spacing w:after="35" w:line="264" w:lineRule="auto"/>
        <w:rPr>
          <w:sz w:val="24"/>
          <w:szCs w:val="24"/>
        </w:rPr>
      </w:pPr>
      <w:r w:rsidRPr="00970D98">
        <w:rPr>
          <w:sz w:val="24"/>
          <w:szCs w:val="24"/>
        </w:rPr>
        <w:t>Phase 4 — Suitability scoring, exclusion masking, and zone delineation, including iterative tuning of delineation parameters.</w:t>
      </w:r>
    </w:p>
    <w:p w:rsidR="00FA6AB5" w:rsidRPr="00970D98" w:rsidRDefault="00E91FBE">
      <w:pPr>
        <w:pStyle w:val="ListParagraph"/>
        <w:numPr>
          <w:ilvl w:val="0"/>
          <w:numId w:val="2"/>
        </w:numPr>
        <w:spacing w:after="35" w:line="264" w:lineRule="auto"/>
        <w:rPr>
          <w:sz w:val="24"/>
          <w:szCs w:val="24"/>
        </w:rPr>
      </w:pPr>
      <w:r w:rsidRPr="00970D98">
        <w:rPr>
          <w:sz w:val="24"/>
          <w:szCs w:val="24"/>
        </w:rPr>
        <w:t>Phase 5 — Carrying-capacity formula implementation and the zone query engine.</w:t>
      </w:r>
    </w:p>
    <w:p w:rsidR="00FA6AB5" w:rsidRPr="00970D98" w:rsidRDefault="00E91FBE">
      <w:pPr>
        <w:pStyle w:val="ListParagraph"/>
        <w:numPr>
          <w:ilvl w:val="0"/>
          <w:numId w:val="2"/>
        </w:numPr>
        <w:spacing w:after="35" w:line="264" w:lineRule="auto"/>
        <w:rPr>
          <w:sz w:val="24"/>
          <w:szCs w:val="24"/>
        </w:rPr>
      </w:pPr>
      <w:r w:rsidRPr="00970D98">
        <w:rPr>
          <w:sz w:val="24"/>
          <w:szCs w:val="24"/>
        </w:rPr>
        <w:t>Phase 6 — Cost-surface construction and graph-based route optimisation.</w:t>
      </w:r>
    </w:p>
    <w:p w:rsidR="00FA6AB5" w:rsidRPr="00970D98" w:rsidRDefault="00E91FBE">
      <w:pPr>
        <w:pStyle w:val="ListParagraph"/>
        <w:numPr>
          <w:ilvl w:val="0"/>
          <w:numId w:val="2"/>
        </w:numPr>
        <w:spacing w:after="35" w:line="264" w:lineRule="auto"/>
        <w:rPr>
          <w:sz w:val="24"/>
          <w:szCs w:val="24"/>
        </w:rPr>
      </w:pPr>
      <w:r w:rsidRPr="00970D98">
        <w:rPr>
          <w:sz w:val="24"/>
          <w:szCs w:val="24"/>
        </w:rPr>
        <w:t>Phase 7 — Machine learning feature engineering, model training, comparison, and cross-validation.</w:t>
      </w:r>
    </w:p>
    <w:p w:rsidR="00FA6AB5" w:rsidRPr="00970D98" w:rsidRDefault="00E91FBE">
      <w:pPr>
        <w:pStyle w:val="ListParagraph"/>
        <w:numPr>
          <w:ilvl w:val="0"/>
          <w:numId w:val="2"/>
        </w:numPr>
        <w:spacing w:after="35" w:line="264" w:lineRule="auto"/>
        <w:rPr>
          <w:sz w:val="24"/>
          <w:szCs w:val="24"/>
        </w:rPr>
      </w:pPr>
      <w:r w:rsidRPr="00970D98">
        <w:rPr>
          <w:sz w:val="24"/>
          <w:szCs w:val="24"/>
        </w:rPr>
        <w:t xml:space="preserve">Phase 8 </w:t>
      </w:r>
      <w:r w:rsidRPr="00970D98">
        <w:rPr>
          <w:sz w:val="24"/>
          <w:szCs w:val="24"/>
        </w:rPr>
        <w:t>— Django backend development, REST API implementation, and the Leaflet.js web frontend, followed by iterative feature refinement (multi-route alternatives, distance-prioritised ranking, and nearby minor pasture/water-point discovery).</w:t>
      </w:r>
    </w:p>
    <w:p w:rsidR="00FA6AB5" w:rsidRPr="00970D98" w:rsidRDefault="00E91FBE">
      <w:pPr>
        <w:spacing w:after="95" w:line="276" w:lineRule="auto"/>
        <w:rPr>
          <w:sz w:val="24"/>
          <w:szCs w:val="24"/>
        </w:rPr>
      </w:pPr>
      <w:r w:rsidRPr="00970D98">
        <w:rPr>
          <w:sz w:val="24"/>
          <w:szCs w:val="24"/>
        </w:rPr>
        <w:t xml:space="preserve">Each phase's outputs </w:t>
      </w:r>
      <w:r w:rsidRPr="00970D98">
        <w:rPr>
          <w:sz w:val="24"/>
          <w:szCs w:val="24"/>
        </w:rPr>
        <w:t>were saved to disk and independently verified — through printed diagnostics, visual plots, and test queries — before being consumed by the next phase, ensuring that errors were caught close to their source rather than propagating silently through the pipel</w:t>
      </w:r>
      <w:r w:rsidRPr="00970D98">
        <w:rPr>
          <w:sz w:val="24"/>
          <w:szCs w:val="24"/>
        </w:rPr>
        <w:t>ine.</w:t>
      </w:r>
    </w:p>
    <w:p w:rsidR="00FA6AB5" w:rsidRDefault="00E91FBE">
      <w:pPr>
        <w:pStyle w:val="Heading1"/>
        <w:pBdr>
          <w:bottom w:val="single" w:sz="6" w:space="4" w:color="1E5631"/>
        </w:pBdr>
        <w:spacing w:before="240" w:after="110"/>
      </w:pPr>
      <w:r>
        <w:rPr>
          <w:b/>
          <w:bCs/>
          <w:color w:val="1E5631"/>
          <w:sz w:val="25"/>
          <w:szCs w:val="25"/>
        </w:rPr>
        <w:t>13. Appendix A — Core Formulas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4552"/>
        <w:gridCol w:w="3167"/>
      </w:tblGrid>
      <w:tr w:rsidR="00FA6AB5">
        <w:tblPrEx>
          <w:tblCellMar>
            <w:top w:w="0" w:type="dxa"/>
            <w:bottom w:w="0" w:type="dxa"/>
          </w:tblCellMar>
        </w:tblPrEx>
        <w:tc>
          <w:tcPr>
            <w:tcW w:w="1100" w:type="pct"/>
            <w:shd w:val="clear" w:color="auto" w:fill="1E5631"/>
            <w:tcMar>
              <w:top w:w="60" w:type="dxa"/>
              <w:left w:w="100" w:type="dxa"/>
              <w:bottom w:w="60" w:type="dxa"/>
              <w:right w:w="100" w:type="dxa"/>
            </w:tcMar>
            <w:vAlign w:val="center"/>
          </w:tcPr>
          <w:p w:rsidR="00FA6AB5" w:rsidRPr="00970D98" w:rsidRDefault="00E91FBE">
            <w:pPr>
              <w:rPr>
                <w:sz w:val="24"/>
                <w:szCs w:val="24"/>
              </w:rPr>
            </w:pPr>
            <w:r w:rsidRPr="00970D98">
              <w:rPr>
                <w:b/>
                <w:bCs/>
                <w:color w:val="FFFFFF"/>
                <w:sz w:val="24"/>
                <w:szCs w:val="24"/>
              </w:rPr>
              <w:t>Formula</w:t>
            </w:r>
          </w:p>
        </w:tc>
        <w:tc>
          <w:tcPr>
            <w:tcW w:w="2300" w:type="pct"/>
            <w:shd w:val="clear" w:color="auto" w:fill="1E5631"/>
            <w:tcMar>
              <w:top w:w="60" w:type="dxa"/>
              <w:left w:w="100" w:type="dxa"/>
              <w:bottom w:w="60" w:type="dxa"/>
              <w:right w:w="100" w:type="dxa"/>
            </w:tcMar>
            <w:vAlign w:val="center"/>
          </w:tcPr>
          <w:p w:rsidR="00FA6AB5" w:rsidRPr="00970D98" w:rsidRDefault="00E91FBE">
            <w:pPr>
              <w:rPr>
                <w:sz w:val="24"/>
                <w:szCs w:val="24"/>
              </w:rPr>
            </w:pPr>
            <w:r w:rsidRPr="00970D98">
              <w:rPr>
                <w:b/>
                <w:bCs/>
                <w:color w:val="FFFFFF"/>
                <w:sz w:val="24"/>
                <w:szCs w:val="24"/>
              </w:rPr>
              <w:t>Expression</w:t>
            </w:r>
          </w:p>
        </w:tc>
        <w:tc>
          <w:tcPr>
            <w:tcW w:w="1600" w:type="pct"/>
            <w:shd w:val="clear" w:color="auto" w:fill="1E5631"/>
            <w:tcMar>
              <w:top w:w="60" w:type="dxa"/>
              <w:left w:w="100" w:type="dxa"/>
              <w:bottom w:w="60" w:type="dxa"/>
              <w:right w:w="100" w:type="dxa"/>
            </w:tcMar>
            <w:vAlign w:val="center"/>
          </w:tcPr>
          <w:p w:rsidR="00FA6AB5" w:rsidRPr="00970D98" w:rsidRDefault="00E91FBE">
            <w:pPr>
              <w:rPr>
                <w:sz w:val="24"/>
                <w:szCs w:val="24"/>
              </w:rPr>
            </w:pPr>
            <w:r w:rsidRPr="00970D98">
              <w:rPr>
                <w:b/>
                <w:bCs/>
                <w:color w:val="FFFFFF"/>
                <w:sz w:val="24"/>
                <w:szCs w:val="24"/>
              </w:rPr>
              <w:t>Purpose</w:t>
            </w:r>
          </w:p>
        </w:tc>
      </w:tr>
      <w:tr w:rsidR="00FA6AB5">
        <w:tblPrEx>
          <w:tblCellMar>
            <w:top w:w="0" w:type="dxa"/>
            <w:bottom w:w="0" w:type="dxa"/>
          </w:tblCellMar>
        </w:tblPrEx>
        <w:tc>
          <w:tcPr>
            <w:tcW w:w="110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Above-ground biomass</w:t>
            </w:r>
          </w:p>
        </w:tc>
        <w:tc>
          <w:tcPr>
            <w:tcW w:w="230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AGB (kg DM/ha) = 3500 × NDVI − 250 (min. 0)</w:t>
            </w:r>
          </w:p>
        </w:tc>
        <w:tc>
          <w:tcPr>
            <w:tcW w:w="160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Converts satellite vegetation index into an estimated forage quantity</w:t>
            </w:r>
          </w:p>
        </w:tc>
      </w:tr>
      <w:tr w:rsidR="00FA6AB5">
        <w:tblPrEx>
          <w:tblCellMar>
            <w:top w:w="0" w:type="dxa"/>
            <w:bottom w:w="0" w:type="dxa"/>
          </w:tblCellMar>
        </w:tblPrEx>
        <w:tc>
          <w:tcPr>
            <w:tcW w:w="110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Suitability score</w:t>
            </w:r>
          </w:p>
        </w:tc>
        <w:tc>
          <w:tcPr>
            <w:tcW w:w="230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0.35×Biomass + 0.20×NDVI + 0.20×Rainfall + 0.15×Water + 0.05×Slope + 0.05×Population</w:t>
            </w:r>
          </w:p>
        </w:tc>
        <w:tc>
          <w:tcPr>
            <w:tcW w:w="160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Composite 0–100 grazing suitability rating per pixel per month</w:t>
            </w:r>
          </w:p>
        </w:tc>
      </w:tr>
      <w:tr w:rsidR="00FA6AB5">
        <w:tblPrEx>
          <w:tblCellMar>
            <w:top w:w="0" w:type="dxa"/>
            <w:bottom w:w="0" w:type="dxa"/>
          </w:tblCellMar>
        </w:tblPrEx>
        <w:tc>
          <w:tcPr>
            <w:tcW w:w="110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Carrying capacity</w:t>
            </w:r>
          </w:p>
        </w:tc>
        <w:tc>
          <w:tcPr>
            <w:tcW w:w="230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CC (TLU/km²) = (Biomass × 0.40 × 100) ÷ 187.5</w:t>
            </w:r>
          </w:p>
        </w:tc>
        <w:tc>
          <w:tcPr>
            <w:tcW w:w="160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 xml:space="preserve">Sustainable monthly stocking rate per unit </w:t>
            </w:r>
            <w:r w:rsidRPr="00970D98">
              <w:rPr>
                <w:color w:val="000000"/>
                <w:sz w:val="24"/>
                <w:szCs w:val="24"/>
              </w:rPr>
              <w:t>area</w:t>
            </w:r>
          </w:p>
        </w:tc>
      </w:tr>
      <w:tr w:rsidR="00FA6AB5">
        <w:tblPrEx>
          <w:tblCellMar>
            <w:top w:w="0" w:type="dxa"/>
            <w:bottom w:w="0" w:type="dxa"/>
          </w:tblCellMar>
        </w:tblPrEx>
        <w:tc>
          <w:tcPr>
            <w:tcW w:w="110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TLU conversion</w:t>
            </w:r>
          </w:p>
        </w:tc>
        <w:tc>
          <w:tcPr>
            <w:tcW w:w="230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1 TLU = 250 kg adult zebu; other species scaled proportionally</w:t>
            </w:r>
          </w:p>
        </w:tc>
        <w:tc>
          <w:tcPr>
            <w:tcW w:w="160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Standardises mixed herds onto one comparable unit</w:t>
            </w:r>
          </w:p>
        </w:tc>
      </w:tr>
      <w:tr w:rsidR="00FA6AB5">
        <w:tblPrEx>
          <w:tblCellMar>
            <w:top w:w="0" w:type="dxa"/>
            <w:bottom w:w="0" w:type="dxa"/>
          </w:tblCellMar>
        </w:tblPrEx>
        <w:tc>
          <w:tcPr>
            <w:tcW w:w="110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Route cost</w:t>
            </w:r>
          </w:p>
        </w:tc>
        <w:tc>
          <w:tcPr>
            <w:tcW w:w="230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0.30×(1−Suitability) + 0.20×Slope + 0.15×WaterDistance + 0.35×RoadBonus</w:t>
            </w:r>
          </w:p>
        </w:tc>
        <w:tc>
          <w:tcPr>
            <w:tcW w:w="160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Determines the relative expense of tra</w:t>
            </w:r>
            <w:r w:rsidRPr="00970D98">
              <w:rPr>
                <w:color w:val="000000"/>
                <w:sz w:val="24"/>
                <w:szCs w:val="24"/>
              </w:rPr>
              <w:t>versing each map cell</w:t>
            </w:r>
          </w:p>
        </w:tc>
      </w:tr>
    </w:tbl>
    <w:p w:rsidR="00E91FBE" w:rsidRDefault="00E91FBE">
      <w:pPr>
        <w:pStyle w:val="Heading1"/>
        <w:pBdr>
          <w:bottom w:val="single" w:sz="6" w:space="4" w:color="1E5631"/>
        </w:pBdr>
        <w:spacing w:before="240" w:after="110"/>
        <w:rPr>
          <w:b/>
          <w:bCs/>
          <w:color w:val="1E5631"/>
          <w:sz w:val="25"/>
          <w:szCs w:val="25"/>
        </w:rPr>
      </w:pPr>
    </w:p>
    <w:p w:rsidR="00E91FBE" w:rsidRDefault="00E91FBE">
      <w:pPr>
        <w:pStyle w:val="Heading1"/>
        <w:pBdr>
          <w:bottom w:val="single" w:sz="6" w:space="4" w:color="1E5631"/>
        </w:pBdr>
        <w:spacing w:before="240" w:after="110"/>
        <w:rPr>
          <w:b/>
          <w:bCs/>
          <w:color w:val="1E5631"/>
          <w:sz w:val="25"/>
          <w:szCs w:val="25"/>
        </w:rPr>
      </w:pPr>
    </w:p>
    <w:p w:rsidR="00FA6AB5" w:rsidRDefault="00E91FBE">
      <w:pPr>
        <w:pStyle w:val="Heading1"/>
        <w:pBdr>
          <w:bottom w:val="single" w:sz="6" w:space="4" w:color="1E5631"/>
        </w:pBdr>
        <w:spacing w:before="240" w:after="110"/>
      </w:pPr>
      <w:r>
        <w:rPr>
          <w:b/>
          <w:bCs/>
          <w:color w:val="1E5631"/>
          <w:sz w:val="25"/>
          <w:szCs w:val="25"/>
        </w:rPr>
        <w:lastRenderedPageBreak/>
        <w:t>14. Appendix B — Example System Output</w:t>
      </w:r>
    </w:p>
    <w:p w:rsidR="00FA6AB5" w:rsidRPr="00970D98" w:rsidRDefault="00E91FBE">
      <w:pPr>
        <w:spacing w:after="95" w:line="276" w:lineRule="auto"/>
        <w:rPr>
          <w:sz w:val="24"/>
          <w:szCs w:val="24"/>
        </w:rPr>
      </w:pPr>
      <w:r w:rsidRPr="00970D98">
        <w:rPr>
          <w:sz w:val="24"/>
          <w:szCs w:val="24"/>
        </w:rPr>
        <w:t>The following is an abbreviated real response captured from the deployed system during testing, illustrating the structure of information returned to the user for a query of 50 adult zebu cattle in the month of August, from a sample location within the stu</w:t>
      </w:r>
      <w:r w:rsidRPr="00970D98">
        <w:rPr>
          <w:sz w:val="24"/>
          <w:szCs w:val="24"/>
        </w:rPr>
        <w:t>dy area: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3"/>
        <w:gridCol w:w="5443"/>
      </w:tblGrid>
      <w:tr w:rsidR="00FA6AB5" w:rsidRPr="00970D98">
        <w:tblPrEx>
          <w:tblCellMar>
            <w:top w:w="0" w:type="dxa"/>
            <w:bottom w:w="0" w:type="dxa"/>
          </w:tblCellMar>
        </w:tblPrEx>
        <w:tc>
          <w:tcPr>
            <w:tcW w:w="2250" w:type="pct"/>
            <w:shd w:val="clear" w:color="auto" w:fill="1E5631"/>
            <w:tcMar>
              <w:top w:w="60" w:type="dxa"/>
              <w:left w:w="100" w:type="dxa"/>
              <w:bottom w:w="60" w:type="dxa"/>
              <w:right w:w="100" w:type="dxa"/>
            </w:tcMar>
            <w:vAlign w:val="center"/>
          </w:tcPr>
          <w:p w:rsidR="00FA6AB5" w:rsidRPr="00970D98" w:rsidRDefault="00E91FBE">
            <w:pPr>
              <w:rPr>
                <w:sz w:val="24"/>
                <w:szCs w:val="24"/>
              </w:rPr>
            </w:pPr>
            <w:r w:rsidRPr="00970D98">
              <w:rPr>
                <w:b/>
                <w:bCs/>
                <w:color w:val="FFFFFF"/>
                <w:sz w:val="24"/>
                <w:szCs w:val="24"/>
              </w:rPr>
              <w:t>Field</w:t>
            </w:r>
          </w:p>
        </w:tc>
        <w:tc>
          <w:tcPr>
            <w:tcW w:w="2750" w:type="pct"/>
            <w:shd w:val="clear" w:color="auto" w:fill="1E5631"/>
            <w:tcMar>
              <w:top w:w="60" w:type="dxa"/>
              <w:left w:w="100" w:type="dxa"/>
              <w:bottom w:w="60" w:type="dxa"/>
              <w:right w:w="100" w:type="dxa"/>
            </w:tcMar>
            <w:vAlign w:val="center"/>
          </w:tcPr>
          <w:p w:rsidR="00FA6AB5" w:rsidRPr="00970D98" w:rsidRDefault="00E91FBE">
            <w:pPr>
              <w:rPr>
                <w:sz w:val="24"/>
                <w:szCs w:val="24"/>
              </w:rPr>
            </w:pPr>
            <w:r w:rsidRPr="00970D98">
              <w:rPr>
                <w:b/>
                <w:bCs/>
                <w:color w:val="FFFFFF"/>
                <w:sz w:val="24"/>
                <w:szCs w:val="24"/>
              </w:rPr>
              <w:t>Example Value</w:t>
            </w:r>
          </w:p>
        </w:tc>
      </w:tr>
      <w:tr w:rsidR="00FA6AB5" w:rsidRPr="00970D98">
        <w:tblPrEx>
          <w:tblCellMar>
            <w:top w:w="0" w:type="dxa"/>
            <w:bottom w:w="0" w:type="dxa"/>
          </w:tblCellMar>
        </w:tblPrEx>
        <w:tc>
          <w:tcPr>
            <w:tcW w:w="22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Recommended zone</w:t>
            </w:r>
          </w:p>
        </w:tc>
        <w:tc>
          <w:tcPr>
            <w:tcW w:w="27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Zone 65</w:t>
            </w:r>
          </w:p>
        </w:tc>
      </w:tr>
      <w:tr w:rsidR="00FA6AB5" w:rsidRPr="00970D98">
        <w:tblPrEx>
          <w:tblCellMar>
            <w:top w:w="0" w:type="dxa"/>
            <w:bottom w:w="0" w:type="dxa"/>
          </w:tblCellMar>
        </w:tblPrEx>
        <w:tc>
          <w:tcPr>
            <w:tcW w:w="22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Zone quality</w:t>
            </w:r>
          </w:p>
        </w:tc>
        <w:tc>
          <w:tcPr>
            <w:tcW w:w="27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Moderate</w:t>
            </w:r>
          </w:p>
        </w:tc>
      </w:tr>
      <w:tr w:rsidR="00FA6AB5" w:rsidRPr="00970D98">
        <w:tblPrEx>
          <w:tblCellMar>
            <w:top w:w="0" w:type="dxa"/>
            <w:bottom w:w="0" w:type="dxa"/>
          </w:tblCellMar>
        </w:tblPrEx>
        <w:tc>
          <w:tcPr>
            <w:tcW w:w="22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Zone area</w:t>
            </w:r>
          </w:p>
        </w:tc>
        <w:tc>
          <w:tcPr>
            <w:tcW w:w="27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828.0 km²</w:t>
            </w:r>
          </w:p>
        </w:tc>
      </w:tr>
      <w:tr w:rsidR="00FA6AB5" w:rsidRPr="00970D98">
        <w:tblPrEx>
          <w:tblCellMar>
            <w:top w:w="0" w:type="dxa"/>
            <w:bottom w:w="0" w:type="dxa"/>
          </w:tblCellMar>
        </w:tblPrEx>
        <w:tc>
          <w:tcPr>
            <w:tcW w:w="22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Mean estimated biomass</w:t>
            </w:r>
          </w:p>
        </w:tc>
        <w:tc>
          <w:tcPr>
            <w:tcW w:w="27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2,348.2 kg DM/ha</w:t>
            </w:r>
          </w:p>
        </w:tc>
      </w:tr>
      <w:tr w:rsidR="00FA6AB5" w:rsidRPr="00970D98">
        <w:tblPrEx>
          <w:tblCellMar>
            <w:top w:w="0" w:type="dxa"/>
            <w:bottom w:w="0" w:type="dxa"/>
          </w:tblCellMar>
        </w:tblPrEx>
        <w:tc>
          <w:tcPr>
            <w:tcW w:w="22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Mean distance to water</w:t>
            </w:r>
          </w:p>
        </w:tc>
        <w:tc>
          <w:tcPr>
            <w:tcW w:w="27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8.43 km</w:t>
            </w:r>
          </w:p>
        </w:tc>
      </w:tr>
      <w:tr w:rsidR="00FA6AB5" w:rsidRPr="00970D98">
        <w:tblPrEx>
          <w:tblCellMar>
            <w:top w:w="0" w:type="dxa"/>
            <w:bottom w:w="0" w:type="dxa"/>
          </w:tblCellMar>
        </w:tblPrEx>
        <w:tc>
          <w:tcPr>
            <w:tcW w:w="22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Zone capacity (August)</w:t>
            </w:r>
          </w:p>
        </w:tc>
        <w:tc>
          <w:tcPr>
            <w:tcW w:w="27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414,787.4 TLU</w:t>
            </w:r>
          </w:p>
        </w:tc>
      </w:tr>
      <w:tr w:rsidR="00FA6AB5" w:rsidRPr="00970D98">
        <w:tblPrEx>
          <w:tblCellMar>
            <w:top w:w="0" w:type="dxa"/>
            <w:bottom w:w="0" w:type="dxa"/>
          </w:tblCellMar>
        </w:tblPrEx>
        <w:tc>
          <w:tcPr>
            <w:tcW w:w="22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Requested herd</w:t>
            </w:r>
          </w:p>
        </w:tc>
        <w:tc>
          <w:tcPr>
            <w:tcW w:w="27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50.0 TLU</w:t>
            </w:r>
          </w:p>
        </w:tc>
      </w:tr>
      <w:tr w:rsidR="00FA6AB5" w:rsidRPr="00970D98">
        <w:tblPrEx>
          <w:tblCellMar>
            <w:top w:w="0" w:type="dxa"/>
            <w:bottom w:w="0" w:type="dxa"/>
          </w:tblCellMar>
        </w:tblPrEx>
        <w:tc>
          <w:tcPr>
            <w:tcW w:w="22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Surplus capacity</w:t>
            </w:r>
          </w:p>
        </w:tc>
        <w:tc>
          <w:tcPr>
            <w:tcW w:w="27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414,737.4 TLU</w:t>
            </w:r>
          </w:p>
        </w:tc>
      </w:tr>
      <w:tr w:rsidR="00FA6AB5" w:rsidRPr="00970D98">
        <w:tblPrEx>
          <w:tblCellMar>
            <w:top w:w="0" w:type="dxa"/>
            <w:bottom w:w="0" w:type="dxa"/>
          </w:tblCellMar>
        </w:tblPrEx>
        <w:tc>
          <w:tcPr>
            <w:tcW w:w="22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Best route distance</w:t>
            </w:r>
          </w:p>
        </w:tc>
        <w:tc>
          <w:tcPr>
            <w:tcW w:w="27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164.7 km</w:t>
            </w:r>
          </w:p>
        </w:tc>
      </w:tr>
      <w:tr w:rsidR="00FA6AB5" w:rsidRPr="00970D98">
        <w:tblPrEx>
          <w:tblCellMar>
            <w:top w:w="0" w:type="dxa"/>
            <w:bottom w:w="0" w:type="dxa"/>
          </w:tblCellMar>
        </w:tblPrEx>
        <w:tc>
          <w:tcPr>
            <w:tcW w:w="22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Estimated travel time</w:t>
            </w:r>
          </w:p>
        </w:tc>
        <w:tc>
          <w:tcPr>
            <w:tcW w:w="2750" w:type="pct"/>
            <w:tcMar>
              <w:top w:w="60" w:type="dxa"/>
              <w:left w:w="100" w:type="dxa"/>
              <w:bottom w:w="60" w:type="dxa"/>
              <w:right w:w="100" w:type="dxa"/>
            </w:tcMar>
            <w:vAlign w:val="center"/>
          </w:tcPr>
          <w:p w:rsidR="00FA6AB5" w:rsidRPr="00970D98" w:rsidRDefault="00E91FBE">
            <w:pPr>
              <w:rPr>
                <w:sz w:val="24"/>
                <w:szCs w:val="24"/>
              </w:rPr>
            </w:pPr>
            <w:r w:rsidRPr="00970D98">
              <w:rPr>
                <w:color w:val="000000"/>
                <w:sz w:val="24"/>
                <w:szCs w:val="24"/>
              </w:rPr>
              <w:t>11.0 days</w:t>
            </w:r>
          </w:p>
        </w:tc>
      </w:tr>
    </w:tbl>
    <w:p w:rsidR="00E91FBE" w:rsidRDefault="00E91FBE">
      <w:pPr>
        <w:spacing w:after="95" w:line="276" w:lineRule="auto"/>
        <w:rPr>
          <w:sz w:val="24"/>
          <w:szCs w:val="24"/>
        </w:rPr>
      </w:pPr>
    </w:p>
    <w:p w:rsidR="00FA6AB5" w:rsidRPr="00970D98" w:rsidRDefault="00E91FBE">
      <w:pPr>
        <w:spacing w:after="95" w:line="276" w:lineRule="auto"/>
        <w:rPr>
          <w:sz w:val="24"/>
          <w:szCs w:val="24"/>
        </w:rPr>
      </w:pPr>
      <w:bookmarkStart w:id="0" w:name="_GoBack"/>
      <w:bookmarkEnd w:id="0"/>
      <w:r w:rsidRPr="00970D98">
        <w:rPr>
          <w:sz w:val="24"/>
          <w:szCs w:val="24"/>
        </w:rPr>
        <w:t>This example illustrates the level of detail the system provides for a single query — combining suitability, capacity, and routing information into one coherent,</w:t>
      </w:r>
      <w:r w:rsidRPr="00970D98">
        <w:rPr>
          <w:sz w:val="24"/>
          <w:szCs w:val="24"/>
        </w:rPr>
        <w:t xml:space="preserve"> actionable recommendation, delivered in real time from data that would otherwise require weeks of manual field assessment to approximate.</w:t>
      </w:r>
    </w:p>
    <w:p w:rsidR="00FA6AB5" w:rsidRDefault="00E91FBE">
      <w:pPr>
        <w:pStyle w:val="Heading1"/>
        <w:pBdr>
          <w:bottom w:val="single" w:sz="6" w:space="4" w:color="1E5631"/>
        </w:pBdr>
        <w:spacing w:before="240" w:after="110"/>
      </w:pPr>
      <w:r>
        <w:rPr>
          <w:b/>
          <w:bCs/>
          <w:color w:val="1E5631"/>
          <w:sz w:val="25"/>
          <w:szCs w:val="25"/>
        </w:rPr>
        <w:t>15. Acknowledgements</w:t>
      </w:r>
    </w:p>
    <w:p w:rsidR="00FA6AB5" w:rsidRPr="00970D98" w:rsidRDefault="00E91FBE">
      <w:pPr>
        <w:spacing w:after="95" w:line="276" w:lineRule="auto"/>
        <w:rPr>
          <w:sz w:val="24"/>
          <w:szCs w:val="24"/>
        </w:rPr>
      </w:pPr>
      <w:r w:rsidRPr="00970D98">
        <w:rPr>
          <w:sz w:val="24"/>
          <w:szCs w:val="24"/>
        </w:rPr>
        <w:t>This work makes use of open satellite and geospatial data provided by NASA, the European Space A</w:t>
      </w:r>
      <w:r w:rsidRPr="00970D98">
        <w:rPr>
          <w:sz w:val="24"/>
          <w:szCs w:val="24"/>
        </w:rPr>
        <w:t xml:space="preserve">gency, the UCSB Climate Hazards Group, the EU Joint Research Centre, the </w:t>
      </w:r>
      <w:proofErr w:type="spellStart"/>
      <w:r w:rsidRPr="00970D98">
        <w:rPr>
          <w:sz w:val="24"/>
          <w:szCs w:val="24"/>
        </w:rPr>
        <w:t>WorldPop</w:t>
      </w:r>
      <w:proofErr w:type="spellEnd"/>
      <w:r w:rsidRPr="00970D98">
        <w:rPr>
          <w:sz w:val="24"/>
          <w:szCs w:val="24"/>
        </w:rPr>
        <w:t xml:space="preserve"> Project, and OpenStreetMap contributors, accessed primarily through the Google Earth Engine platform and the </w:t>
      </w:r>
      <w:proofErr w:type="spellStart"/>
      <w:r w:rsidRPr="00970D98">
        <w:rPr>
          <w:sz w:val="24"/>
          <w:szCs w:val="24"/>
        </w:rPr>
        <w:t>Geofabrik</w:t>
      </w:r>
      <w:proofErr w:type="spellEnd"/>
      <w:r w:rsidRPr="00970D98">
        <w:rPr>
          <w:sz w:val="24"/>
          <w:szCs w:val="24"/>
        </w:rPr>
        <w:t xml:space="preserve"> OpenStreetMap extract service. Their continued provisio</w:t>
      </w:r>
      <w:r w:rsidRPr="00970D98">
        <w:rPr>
          <w:sz w:val="24"/>
          <w:szCs w:val="24"/>
        </w:rPr>
        <w:t>n of free, high-quality earth observation data makes projects such as this one possible, and their contribution is gratefully acknowledged.</w:t>
      </w:r>
    </w:p>
    <w:p w:rsidR="00FA6AB5" w:rsidRDefault="00E91FBE">
      <w:pPr>
        <w:pStyle w:val="Heading1"/>
        <w:pBdr>
          <w:bottom w:val="single" w:sz="6" w:space="4" w:color="1E5631"/>
        </w:pBdr>
        <w:spacing w:before="240" w:after="110"/>
      </w:pPr>
      <w:r>
        <w:rPr>
          <w:b/>
          <w:bCs/>
          <w:color w:val="1E5631"/>
          <w:sz w:val="25"/>
          <w:szCs w:val="25"/>
        </w:rPr>
        <w:t>16. Conclusion</w:t>
      </w:r>
    </w:p>
    <w:p w:rsidR="00FA6AB5" w:rsidRPr="00970D98" w:rsidRDefault="00E91FBE">
      <w:pPr>
        <w:spacing w:after="95" w:line="276" w:lineRule="auto"/>
        <w:rPr>
          <w:sz w:val="24"/>
          <w:szCs w:val="24"/>
        </w:rPr>
      </w:pPr>
      <w:r w:rsidRPr="00970D98">
        <w:rPr>
          <w:sz w:val="24"/>
          <w:szCs w:val="24"/>
        </w:rPr>
        <w:t>This project demonstrates that a satellite-driven, machine-learning-supported decision support system</w:t>
      </w:r>
      <w:r w:rsidRPr="00970D98">
        <w:rPr>
          <w:sz w:val="24"/>
          <w:szCs w:val="24"/>
        </w:rPr>
        <w:t xml:space="preserve"> for transhumance planning is both technically achievable and practically usable. By combining ten years of remote sensing data, an empirically grounded biomass and suitability model, a validated carrying-capacity engine, a realistic cost-aware routing sys</w:t>
      </w:r>
      <w:r w:rsidRPr="00970D98">
        <w:rPr>
          <w:sz w:val="24"/>
          <w:szCs w:val="24"/>
        </w:rPr>
        <w:t>tem, and a rigorously cross-validated forecasting model, the system moves pastoral route planning away from inherited guesswork and toward a reproducible, data-driven process — while remaining accessible enough for a herder to use directly from a mobile ph</w:t>
      </w:r>
      <w:r w:rsidRPr="00970D98">
        <w:rPr>
          <w:sz w:val="24"/>
          <w:szCs w:val="24"/>
        </w:rPr>
        <w:t>one in the field.</w:t>
      </w:r>
    </w:p>
    <w:sectPr w:rsidR="00FA6AB5" w:rsidRPr="00970D98">
      <w:pgSz w:w="11906" w:h="16838"/>
      <w:pgMar w:top="850" w:right="1000" w:bottom="85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2B3400"/>
    <w:multiLevelType w:val="hybridMultilevel"/>
    <w:tmpl w:val="40601F5A"/>
    <w:lvl w:ilvl="0" w:tplc="155CDAFA">
      <w:start w:val="1"/>
      <w:numFmt w:val="bullet"/>
      <w:lvlText w:val="•"/>
      <w:lvlJc w:val="left"/>
      <w:pPr>
        <w:ind w:left="403" w:hanging="259"/>
      </w:pPr>
    </w:lvl>
    <w:lvl w:ilvl="1" w:tplc="2DB2543A">
      <w:numFmt w:val="decimal"/>
      <w:lvlText w:val=""/>
      <w:lvlJc w:val="left"/>
    </w:lvl>
    <w:lvl w:ilvl="2" w:tplc="862E0EEC">
      <w:numFmt w:val="decimal"/>
      <w:lvlText w:val=""/>
      <w:lvlJc w:val="left"/>
    </w:lvl>
    <w:lvl w:ilvl="3" w:tplc="EE7A79A6">
      <w:numFmt w:val="decimal"/>
      <w:lvlText w:val=""/>
      <w:lvlJc w:val="left"/>
    </w:lvl>
    <w:lvl w:ilvl="4" w:tplc="767E5A10">
      <w:numFmt w:val="decimal"/>
      <w:lvlText w:val=""/>
      <w:lvlJc w:val="left"/>
    </w:lvl>
    <w:lvl w:ilvl="5" w:tplc="A5762AB2">
      <w:numFmt w:val="decimal"/>
      <w:lvlText w:val=""/>
      <w:lvlJc w:val="left"/>
    </w:lvl>
    <w:lvl w:ilvl="6" w:tplc="6DE68D7E">
      <w:numFmt w:val="decimal"/>
      <w:lvlText w:val=""/>
      <w:lvlJc w:val="left"/>
    </w:lvl>
    <w:lvl w:ilvl="7" w:tplc="C2305B74">
      <w:numFmt w:val="decimal"/>
      <w:lvlText w:val=""/>
      <w:lvlJc w:val="left"/>
    </w:lvl>
    <w:lvl w:ilvl="8" w:tplc="09C4E318">
      <w:numFmt w:val="decimal"/>
      <w:lvlText w:val=""/>
      <w:lvlJc w:val="left"/>
    </w:lvl>
  </w:abstractNum>
  <w:abstractNum w:abstractNumId="1" w15:restartNumberingAfterBreak="0">
    <w:nsid w:val="5DE275B6"/>
    <w:multiLevelType w:val="hybridMultilevel"/>
    <w:tmpl w:val="2B04C610"/>
    <w:lvl w:ilvl="0" w:tplc="11264A62">
      <w:start w:val="1"/>
      <w:numFmt w:val="bullet"/>
      <w:lvlText w:val="●"/>
      <w:lvlJc w:val="left"/>
      <w:pPr>
        <w:ind w:left="720" w:hanging="360"/>
      </w:pPr>
    </w:lvl>
    <w:lvl w:ilvl="1" w:tplc="18B63C16">
      <w:start w:val="1"/>
      <w:numFmt w:val="bullet"/>
      <w:lvlText w:val="○"/>
      <w:lvlJc w:val="left"/>
      <w:pPr>
        <w:ind w:left="1440" w:hanging="360"/>
      </w:pPr>
    </w:lvl>
    <w:lvl w:ilvl="2" w:tplc="982688FA">
      <w:start w:val="1"/>
      <w:numFmt w:val="bullet"/>
      <w:lvlText w:val="■"/>
      <w:lvlJc w:val="left"/>
      <w:pPr>
        <w:ind w:left="2160" w:hanging="360"/>
      </w:pPr>
    </w:lvl>
    <w:lvl w:ilvl="3" w:tplc="47E80322">
      <w:start w:val="1"/>
      <w:numFmt w:val="bullet"/>
      <w:lvlText w:val="●"/>
      <w:lvlJc w:val="left"/>
      <w:pPr>
        <w:ind w:left="2880" w:hanging="360"/>
      </w:pPr>
    </w:lvl>
    <w:lvl w:ilvl="4" w:tplc="78E2F1EA">
      <w:start w:val="1"/>
      <w:numFmt w:val="bullet"/>
      <w:lvlText w:val="○"/>
      <w:lvlJc w:val="left"/>
      <w:pPr>
        <w:ind w:left="3600" w:hanging="360"/>
      </w:pPr>
    </w:lvl>
    <w:lvl w:ilvl="5" w:tplc="29FAB220">
      <w:start w:val="1"/>
      <w:numFmt w:val="bullet"/>
      <w:lvlText w:val="■"/>
      <w:lvlJc w:val="left"/>
      <w:pPr>
        <w:ind w:left="4320" w:hanging="360"/>
      </w:pPr>
    </w:lvl>
    <w:lvl w:ilvl="6" w:tplc="E346A23E">
      <w:start w:val="1"/>
      <w:numFmt w:val="bullet"/>
      <w:lvlText w:val="●"/>
      <w:lvlJc w:val="left"/>
      <w:pPr>
        <w:ind w:left="5040" w:hanging="360"/>
      </w:pPr>
    </w:lvl>
    <w:lvl w:ilvl="7" w:tplc="CB40E4D2">
      <w:start w:val="1"/>
      <w:numFmt w:val="bullet"/>
      <w:lvlText w:val="●"/>
      <w:lvlJc w:val="left"/>
      <w:pPr>
        <w:ind w:left="5760" w:hanging="360"/>
      </w:pPr>
    </w:lvl>
    <w:lvl w:ilvl="8" w:tplc="02D4C2B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AB5"/>
    <w:rsid w:val="00970D98"/>
    <w:rsid w:val="00B81227"/>
    <w:rsid w:val="00E91FBE"/>
    <w:rsid w:val="00FA6AB5"/>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E131B"/>
  <w15:docId w15:val="{A50CF028-7EBB-4667-BB72-688D88E79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CM" w:eastAsia="en-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8807890">
      <w:bodyDiv w:val="1"/>
      <w:marLeft w:val="0"/>
      <w:marRight w:val="0"/>
      <w:marTop w:val="0"/>
      <w:marBottom w:val="0"/>
      <w:divBdr>
        <w:top w:val="none" w:sz="0" w:space="0" w:color="auto"/>
        <w:left w:val="none" w:sz="0" w:space="0" w:color="auto"/>
        <w:bottom w:val="none" w:sz="0" w:space="0" w:color="auto"/>
        <w:right w:val="none" w:sz="0" w:space="0" w:color="auto"/>
      </w:divBdr>
    </w:div>
    <w:div w:id="12613323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3105</Words>
  <Characters>17703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Achucho Noel</cp:lastModifiedBy>
  <cp:revision>2</cp:revision>
  <dcterms:created xsi:type="dcterms:W3CDTF">2026-09-04T09:34:00Z</dcterms:created>
  <dcterms:modified xsi:type="dcterms:W3CDTF">2026-09-04T10:01:00Z</dcterms:modified>
</cp:coreProperties>
</file>