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Chapter 1: Introduction</w:t>
      </w:r>
    </w:p>
    <w:p w:rsidR="00000000" w:rsidDel="00000000" w:rsidP="00000000" w:rsidRDefault="00000000" w:rsidRPr="00000000" w14:paraId="00000002">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1.1 Background and Context</w:t>
      </w:r>
    </w:p>
    <w:p w:rsidR="00000000" w:rsidDel="00000000" w:rsidP="00000000" w:rsidRDefault="00000000" w:rsidRPr="00000000" w14:paraId="00000004">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software vendor contracts now stretches from Dublin to Singapore and have become vital to operational technology practices of varying organizations around the globe. However, the legal implications of the contracts are still often misunderstood. According to the latest Gartner reports from 2024, around 60% of the organizations are hindered by unexpected challenges when they decide to end vendor contracts (Gartner, 2024). The situation becomes worse when we consider the costs. The average costs of vendor lock-in is pegged at $2.8 million for mid-sized enterprises (World Commerce &amp; Contracting, 2022). The burden becomes more pronounced to firms across Mumbai and Sao Paolo.</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are paramount. Legal contract review services exist, but, appear to be out of the reach of a majority of the prospective clients. Legal consulting services for contract review are charged at $5000 upwards to $50000 (Lacity and Willcocks, 2017). The costs are burdensome for start-ups in Austin or for many businesses operating in Lagos. The situation where contracts are drawn up and signed serves to create equally unpleasurable outcomes by subjecting the organization to unwanted legal terms.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 vulnerable ecosystem and using resources without having the matching understanding to the contract was a gross mismatch. A lot of the contracts that businesses enter with software companies do not go through pre-signature scrutiny and that should not be the case. This has rich literature regarding the common lock-in tactics and appears to be the case (Zhu and Zhou, 2012; Shapiro and Varian, 1999). Analysts and other professionals have provided a catalog of the most common risky contracts for the last ten years, but the same troublesome clauses are still found and are present in vendor contracts.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are not without their own issues. They still focus on the same boring and predictable outcomes that and which are very much physical and therefore, we have the computer contract analytical checklist for vendor contracts. Legal experts are always there but are very pricey and time demanding. IT professionals in metropolitan areas such as Toronto are in a catch twenty two when they have to make a choice between viciously expensive legal contracts and the cheap, vendor contracts that do not really help in reducing risk.</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have only increased with the increase in the IT world centered on the rise of the cloud and the Software as a Service model (Mathematics Journal, 2024). As the reality of many contracts in vendor lock has provided a lot of organizational flexibility that in turn, makes the expenses go higher drastically.</w:t>
      </w:r>
    </w:p>
    <w:p w:rsidR="00000000" w:rsidDel="00000000" w:rsidP="00000000" w:rsidRDefault="00000000" w:rsidRPr="00000000" w14:paraId="0000000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1.2 Problem Statement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there are three interrelated issues that keep defining vendor contract assessment. First, the economic barrier stifles the effectiveness of contract review services. Organizations with limited budgets tend to choose one of the two, legal review or any other operational priorities. This preferential choice tiptoes in favor of broader business priorities, overlooking contractual lock-in perils until disengagement becomes unavoidable.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current methods of contract review assume the users have some degree of legal qualifications. The legal, integrable, and current frame and the surmised rational approach to any underlying issue are not in any of the present mainstream hypotheses, and are unnecessarily complicated. An IT manager in Berlin or Tokyo performing a vendor assessment has a mountain to surmount. The dense legal parlance of contract law, its ancillary disciplines, and interval-pervasive matrices strip alarming number IT heads of their managerial capacities.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contract review timing does not coincide with procurement practices. The selection of vendors proceeds with alacrity, and the expectation placed upon organizations is, contracts should be entered within a matter of days or, two weeks at a maximum. The contractor review does not match the vendor selection. This dissonance is the whole meditation IT teams in Sydney and Tel Aviv managing multiple vendors, and, within the entire roster of available, there are no usable innovations on offer for rapid assessment of contract risks.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businesses seek the services of software vendors, the legal directive under the Contracts Contracted Indefinitely Obligation Of Obstruction 'signs' an newcommer's ignorance indubitably.’ At the moment, neither of the the business community, nor the professionals in IT have a readily accessible tool to isolate ‘contract lock in’ risks well in advance of the signing of the contracts.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it appears that substantial costs are incurred when switching from vendors, disjointed satisfaction vendor, on the other hand, may lack the operational flexibility due to an inability to switch to better options.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1.3 Research Motivation</w:t>
      </w:r>
    </w:p>
    <w:p w:rsidR="00000000" w:rsidDel="00000000" w:rsidP="00000000" w:rsidRDefault="00000000" w:rsidRPr="00000000" w14:paraId="00000019">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was motivated by the presence of a gap in the factors met by the solutions offered in the market. IT​ professionals​ are in the range where there is a​ gap between​ the legal services that are overpriced and the contract checklists that have been simplified. These professionals require a contract assessment service which is affordable, comprehensive, and user-friendly.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 typical situation. A company with a mid-sized branch in financial services is ​considering​ three software vendors​ for​ customer relationship management. IT management is in charge of technology​ but does not​ have a legal background. The legal​ team​ of the company manages most major corporate deals, but does not​ have the bandwidth to​ manage​ the routine vendor contract review. If the timeline for procurement is​ two weeks​,​ then​ the vendor selection along with contract management needs to be simplified. So is engaging an external legal practitioner that charges $15,000 for a​ contract review​. If the review is not completed, vendor contract disputes have the possibility of exposing the company to a hostile contract, and faces​ the risk​ of submission​ to​ added terms in a contract which are unfavorable. The vendor contracts do​ not​ adjust the standard contracts to the size of the customer.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Forrester (2023), vendor contract disputes are among the most expensive legal disputes for technology firms to face. Their research indicates that numerous contracts concerning the​ project​ have​ the terms​ of the lock-in clause of the contract which​ prevents​ exit, along with the​ rules​ for data migration, and​ the​ penalties for termination that​ are​ included in many vendor transition issues. These issues are understood by many legal experts and may be easy to find in many decisions to review contracts in the standard form.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ease of developing more advanced contract assessment tools has improved significantly (Mathematics Journal, 2024). The ability to do natural language processing has advanced. Systems for document analysis have a solid basis for the identification and classification of clauses. There is a plethora of powerful lexicon oriented languages like Python that do not require extensive software development investments. The internet has more than enough resources to support interactive tools that can be worked on from anywhere.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programs from Cambridge, Stanford and Trinity College Dublin have started to include more and more practical technology management components. However, the graduates that assume IT management positions still do not have any vendor contract assessment exposure. A practical, well-structured assessment tool could serve an educational purpose as well as a practical contract evaluation resource.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has practical economic importance because it optimally controls the organizational spending on vendor related contract burdens and thus enhances organizational flexibility, security, and business value. A proper tool for IT professionals to assess vendor contracts is lacking. The tools and materials that do exist are either too complex, or far too legalistic. The aim of this research is to offer a pragmatic assessment tool that can be utilized to determine the vendor contract risk level in thirty minutes.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1.4 Research Aim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intends to create and assess a framework for automated vendor contract analysis to help counter the shortcomings in existing approaches to contract assessment accessibility. The framework will attempt to identify the most common and most impactful duration lock-in mechanisms while ensuring ease of use for IT employees without any legal training.</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intends to prove that the assessment of contract risks does not always have to involve high-level legal work. The research on lock-in clauses intends to simply classify the risk associated with a contract and ascertain whether contract evaluation is within the reach of IT managers.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is to develop a tool which automates the contract assessment system such that IT professionals can determine quickly, whether a vendor contract presents “Organizational lock-in” as “Low,” “Medium,” and “High” Risk, using drop-down options. This assessment must be carried out in under thirty minutes and is expected to provide prescriptive, outcome-oriented analysis rather than vague legal conclusions.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1.5 Research Objectives</w:t>
      </w:r>
    </w:p>
    <w:p w:rsidR="00000000" w:rsidDel="00000000" w:rsidP="00000000" w:rsidRDefault="00000000" w:rsidRPr="00000000" w14:paraId="0000002F">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has five specific objectives to accomplish:</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identify and analyze 25-30 lock-in clause types in vendor contracts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focuses on identifying and analyzing contracts with vendor lock-in clause types using actual contracts from major providers (AWS, MS Azure, Salesforce, etc.). Each vendor lock-in clause type must be articulated and captured in a manner that a non-legal IT professional can grasp. Attention will primarily be given to data portability, pricing escalation, support and exit clause, termination penalties, and service level guarantees.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develop a simple contract risk assessment tool with a scoring system.</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focuses on building a contract risk assessment tool that grades and scores the assessed risk. Each significant clause category must be accompanied by diagnostic questions that can be answered without legal complexities. The tool must be constructed in such a manner that, within 30 minutes, an IT professional is able to complete it. The scoring system must capture a contract and assign it into different risk categories (Low, Medium, High) with the thresholds adequately set and justifiable.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create a web or desktop application that interacts with users for an automated evaluation of contracts and produces contracts for evaluation tailored to user specifications and answers.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goal deals with creating an interactive application that automates the evaluation of contracts to support the user in completing an evaluation form and determining risk levels and assessment on the evaluating elements. It will flag certain clauses as ‘risky’ and prepare risk assessment reports for organizational leadership. It should also contain a searchable repository of real vendor contracts with marked and explained risky clauses, assessment ‘risky’ clauses, and vendor contract templates that the IT staff use to negotiate with the vendor.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use the framework with 5-10 real vendor contracts from leading software companies and provide the framework with contracts for vendor of leading software companies to test the framework for certification purposes contracts.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goal deals with applying the framework to vendor contracts of leading software companies to demonstrate that the framework is useful and used. Every evaluation should be able to showcase the tool on risky clause identification with risk score estimation and remediation suggestion. Validation will also need to demonstrate that the framework is in compliance with the reputation of having a good alignment with legal experts’ reviews on the same contracts.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negotiation strategies along with templates for alternate clauses to be used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has a proactive focus. It is to craft plans to negotiate based on the risks that have been established. The framework must provide for a set of alternative clauses that the IT personnel can use to negotiate vendor contracts on more favorable terms. Every alternative clause must be explained with reasoning to show how the language minimizes lock-in risk while also being commercially viable to the vendors.</w:t>
      </w:r>
    </w:p>
    <w:p w:rsidR="00000000" w:rsidDel="00000000" w:rsidP="00000000" w:rsidRDefault="00000000" w:rsidRPr="00000000" w14:paraId="00000045">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1.6 Research Questions</w:t>
      </w:r>
    </w:p>
    <w:p w:rsidR="00000000" w:rsidDel="00000000" w:rsidP="00000000" w:rsidRDefault="00000000" w:rsidRPr="00000000" w14:paraId="00000047">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 research intends to answer these questions: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What lock-in mechanisms are most prevalent and most damaging within software vendor contracts?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questions aims to establish what clauses vendor lock-in is generated from as well as the impact. It examines data portability, pricing escalation, termination penalties, support, and the other vendor dependent service level agreements and obligations.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Can the process of assessing contract risk be simplified in such a way that IT practitioners with no legal background can understand IT?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questions seeks to find out whether complex legal contract analysis can be simplified and available in assessment form. It explores the possibility of simple assessment designs that are accurate to legal standards and can be completed in under half an hour.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RQ3: What is the level of accuracy of an automated framework in identifying and assessing vendor lock in risks compared to the traditional legal review?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questions seeks to analyze the accuracy and assessment of the automated framework. It measures the risk identification and scoring accuracy against established legal contran assessment in order to evaluate whether contract assessments can be automated reliably and validly.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How well does the proposed framework fit with the professional legal evaluations of vendor contracts?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seeks proof by calculating the framework risk assessment covariance of legal practitioners’ assessment concordance. It tries to find answers on the simplification of the approach and whether it rigorously conforms to the legal professional approach.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RQ5: How can the framework be used to achieve more advantageous terms of vendor contracts by organizations?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This question investigates the use of assessment results in contract negotiations. It looks into whether the contract analyses and the alternative wording presented to the IT professionals for risk clauses enable them to bargain more favorable terms to the organization and lower the risk of lock-in.</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1.7 Significance of the Study</w:t>
      </w:r>
    </w:p>
    <w:p w:rsidR="00000000" w:rsidDel="00000000" w:rsidP="00000000" w:rsidRDefault="00000000" w:rsidRPr="00000000" w14:paraId="0000005F">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investigation enhances theoretical knowledge on automating contract risk evaluation systems and their practical use in vendor management. The dissertation assesses the synthesis of legal intricacy and use of contract evaluation systems. The belief that the more extensive and more rigorous legal work documents analyses and synthesizes the better the output of the organization merits Critique. By examining high-stakes lock-in mechanisms and accuracy of evaluations, this work sheds light on this issue.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value of this work transcends the boundaries of a single stakeholder. Small and medium-sized businesses can now access sophisticated tools for contract evaluation which were previously inaccessible. IT staff can review and analyze vendor contracts without any legal background and without the need to engage with costly external lawyers. Companies can now execute contract risk evaluations in the course of their normal procurement processes without any contract risk evaluation subject matter specialists. Universities now have resources to teach vendor management in a more practical manner.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profound issue is the extent to which automated contract evaluation systems will be available on a wider basis. At the moment, proper evaluation and assessment of vendor contracts is largely confined to organizations that can afford an extensive legal team. This research is predicated on whether this is a core requirement or a reflection of the evolution of the professional services market. If contract risk evaluation can be simplified significantly to the level of ordinary management tasks without compromising evaluation sufficiency, the impact on organizational vendor management can be enormous.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in management from Harvard, INSEAD, and London School of Economics have known for years that, in many cases, issues with vendor relationships arise not from a deficiency of knowledge, but from a deficiency in applying knowledge during the negotiation of the contract. Organizations appreciate the vendor lock-in problem and the associated freedom restricting repercussions, yet these same organizations sign contracts that have glaring vendor lock-in clauses. The disparity between knowledge and practice indicate that tools that can assist with systematic pre-signature scrutiny may have a greater effect than complex legal assessments done with little frequency.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solves an issue that is of practical economic relevance. The framework assists builders in organizational cost control, operational flexibility, and strategic vendor management. It does this by helping them identify problem contract clauses that can be negotiated away. Organizations with a clear purpose and an understanding of their planned framework have better vendor selection decision making capabilities. They negotiate better, and are able to secure more favorable contract terms.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1.8 Research Hypotheses</w:t>
      </w:r>
    </w:p>
    <w:p w:rsidR="00000000" w:rsidDel="00000000" w:rsidP="00000000" w:rsidRDefault="00000000" w:rsidRPr="00000000" w14:paraId="0000006B">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Dissertations tend to encompass the abstract and practical purposes of the research. Following this tradition, the present work will be founded on the overarching objectives.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All vendor agreements exhibit measurable lock-in clauses that can be categorized and examined.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assumption that lock-in strategies are random and not systematic is broken. There are different vendors, and contracts of different types. In terms of the organizational dimension and lock-in software agreements, it is expected that there are 25-30 clause types which are dominant and regular.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Automated Contract Assessments that are Risk-Averse are less accurate than traditional prognostic reviews, and therefore time and costs are saved.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say that legislations which are harsh and extreme can be simplified without sacrificing precision. It is expected that the simplified framework IT professionals will be able to pinpoint the same high-risk clauses which legal professionals diagnose over 85% of the time.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Contract vendor risk can be assessed adequately through the framework by IT professionals lacking formal legal qualifications.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assumption that legal m terminology and defined filter-based constructions allows even non-legal professionals to make reasoned contract assessments that are meaningful is proposed. It is expected that IT managers can and will control vendor assessments and decide which contracts to accept through presented legal papers without the need of legal professionals.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The risk scores assigned by the automated framework will coincide with the contracts’ legal assessments by specialized lawyers and will have a positive correlation.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expectation expects a positive strong correlation between the risk scores assigned (Low, Medium, High) and the assessments done by legal experts independently. The correlation between automated assessments and assessments made by experts should be no less than 0.80, which shows the strength of the framework.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 The framework will be able to help organizations detect opportunities for negotiations which will minimize the exposure to vendor lock-in.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assumption states that there is a set of contracts that can be analyzed in such a way that will enable actionable insights in terms of negotiations. It is expected that users of the framework will find at least 3-5 clauses per contract that can be successfully negotiated. It is expected that alternative clause templates will serve as useful starting points for negotiations for IT professionals.</w:t>
      </w:r>
    </w:p>
    <w:p w:rsidR="00000000" w:rsidDel="00000000" w:rsidP="00000000" w:rsidRDefault="00000000" w:rsidRPr="00000000" w14:paraId="00000081">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1.9 Scope and Limitations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examines contracts of software vendors, particularly Software-as-a-Service (SaaS) agreements and contracts with cloud service providers. This focus is a conscious selection of depth over breadth. While businesses interact with various types of vendors, software and cloud vendors have the most complicated and widespread lock-in mechanisms. Even more, they lock in more organizations than all the other types of vendors. Appropriate analysis of software vendor contracts brings significant risk mitigation without compromising the project’s time constraints.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focuses on five specific categories of clauses: data portability provisions, pricing and payment terms, obligations to provide support, termination and exit clauses, and service level agreements. These categories cover the most prevalent lock-in mechanisms identified in industry research. While vendor contracts have a wide range of clause types, these five categories constitute the bulk of disengagement difficulties and unanticipated costs organizations experience.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is centered on lock-in risk instead of a holistic, all-inclusive legal review. This framework does not, and is not intended to, replace legal counsel in the case of complicated negotiations or high-value contracts. Organizations are still expected to hire legal experts to work on contracts with major financial outlays, those that involve innovative business models, or those with rare risk distributions. This framework acts as a first-line assessment tool that enables IT professionals to pinpoint potential litigation issues and determine if legal counsel is warranted.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and access of the tool are prioritized above the depth of its feature set. For the purposes of this tool, the target users are IT managers and technology buyers as opposed to attorney practitioners. This approach means that certain advanced capabilities of legal reasoning are omitted. Organizations needing sophisticated, detailed, clause-by-clause legal analysis and reasoning will still need to retain legal practitioners.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is performed with vendor contracts and standard commercial agreements of major software houses that are available as public documents. These contracts, while illustrative of industry standards, do not purport to capture every industry nuance. The impact of the framework on agreements that are highly tailored, on unconventional contract forms, or on new vendor frameworks are all beyond the limits of this research.</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differences in law, along with jurisdiction-specific contract law and compliance with rules of law beyond those of general data protection, are all omissions in this research. Organizations that operate in multiple jurisdictions will need to add to the review of the framework legal practitioners with local knowledge.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performance focuses on accuracy of detection, consistency of assessment, and completion ratio. This research makes no attempt to understand what organizational outcomes track with usage of the framework over the long run. While useful, this kind of accumulated observation no research, is beyond the practical limits of this project. Subsequent research may be able to conclude that the framework is associated with lower vendor transition costs and improved terms of contracts within organizations.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1.8 Thesis Organization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remaining sections of the thesis, this part will also adhere to the outlined structure. In Chapter 2, the literature on vendor contract management, lock-in mechanisms, contract risk assessment methodologies, and contract analysis tools is reviewed. The review establishes the theoretical framework and articulates the gaps in the existing literature and practical tools.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describes the research methodology which consists of the framework designing the approach, clause identification, scoring system, tool deployment strategy, and validation framework. This chapter describes the methodology and enables the replication of the analysis with the sufficient level of detail provided.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examines the vendor contract analysis framework, the framework’s analysis tool, scoring rubric, lock-in clause patterns, databases of contract clauses, and negotiation templates. Each type of contract clause is exemplified with authentic contracts that illustrate problematic language and alternative formulations.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five focuses on the tool deployment which includes the system structure, user interface, assessment, report generation, and a contract database. Alternative designs and subsequent developments to the system are described in Documentation for Design and Technical Specification.</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six includes the validations and the analysis of the real vendor contracts, justifications for the risk score, legal reviews, user support, validation of usability, and overall usability to validation.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illustrate the practical use of the framework within this chapter.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7, the author outlines the consequences of the results, determines the gaps of the work, and proposes directions for further research. The research questions are addressed in the context of the results, in addition to the availability of contract assessment tools and the organizational practices of vendor management.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chapter, the author completes the thesis by synthesizing main achievements and evaluative reflections. The final chapter includes a set of pragmatic suggestions directed to IT practitioners, heads of procurement, and scholars which is, in fact, the essence of the thesis.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References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Lacity, M.C. and Willcocks, L.P. (2017). Conflict resolution in business services outsourcing relationships. Journal of Strategic Information Systems, 26(2), pp. 80-100. Available at: </w:t>
      </w:r>
      <w:hyperlink r:id="rId6">
        <w:r w:rsidDel="00000000" w:rsidR="00000000" w:rsidRPr="00000000">
          <w:rPr>
            <w:rFonts w:ascii="Times New Roman" w:cs="Times New Roman" w:eastAsia="Times New Roman" w:hAnsi="Times New Roman"/>
            <w:color w:val="1155cc"/>
            <w:sz w:val="24"/>
            <w:szCs w:val="24"/>
            <w:u w:val="single"/>
            <w:rtl w:val="0"/>
          </w:rPr>
          <w:t xml:space="preserve">http://eprints.lse.ac.uk/69810/</w:t>
        </w:r>
      </w:hyperlink>
      <w:r w:rsidDel="00000000" w:rsidR="00000000" w:rsidRPr="00000000">
        <w:rPr>
          <w:rFonts w:ascii="Times New Roman" w:cs="Times New Roman" w:eastAsia="Times New Roman" w:hAnsi="Times New Roman"/>
          <w:sz w:val="24"/>
          <w:szCs w:val="24"/>
          <w:rtl w:val="0"/>
        </w:rPr>
        <w:t xml:space="preserve">  [Accessed: 28 October 2024].</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Journal. (2024). CVL: A Cloud Vendor Lock-In Prediction Framework. Mathematics, 12(3), 387.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https://www.mdpi.com/2227-7390/12/3/387</w:t>
        </w:r>
      </w:hyperlink>
      <w:r w:rsidDel="00000000" w:rsidR="00000000" w:rsidRPr="00000000">
        <w:rPr>
          <w:rFonts w:ascii="Times New Roman" w:cs="Times New Roman" w:eastAsia="Times New Roman" w:hAnsi="Times New Roman"/>
          <w:sz w:val="24"/>
          <w:szCs w:val="24"/>
          <w:rtl w:val="0"/>
        </w:rPr>
        <w:t xml:space="preserve">  [Accessed: 28 October 2024].</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Shapiro, C. and Varian, H.R. (1999). Information Rules: A Strategic Guide to the Network Economy. Boston: Harvard Business School Press.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https://www.researchgate.net/publication/200167344_Information_Rules_A_Strategic_Guide_to_The_Network_Economy</w:t>
        </w:r>
      </w:hyperlink>
      <w:r w:rsidDel="00000000" w:rsidR="00000000" w:rsidRPr="00000000">
        <w:rPr>
          <w:rFonts w:ascii="Times New Roman" w:cs="Times New Roman" w:eastAsia="Times New Roman" w:hAnsi="Times New Roman"/>
          <w:sz w:val="24"/>
          <w:szCs w:val="24"/>
          <w:rtl w:val="0"/>
        </w:rPr>
        <w:t xml:space="preserve">  [Accessed: 27 October 2024].</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Williamson, O.E. (1985). The Economic Institutions of Capitalism: Firms, Markets, Relational Contracting. New York: Free Press. Available at: </w:t>
      </w:r>
      <w:hyperlink r:id="rId9">
        <w:r w:rsidDel="00000000" w:rsidR="00000000" w:rsidRPr="00000000">
          <w:rPr>
            <w:rFonts w:ascii="Times New Roman" w:cs="Times New Roman" w:eastAsia="Times New Roman" w:hAnsi="Times New Roman"/>
            <w:color w:val="1155cc"/>
            <w:sz w:val="24"/>
            <w:szCs w:val="24"/>
            <w:u w:val="single"/>
            <w:rtl w:val="0"/>
          </w:rPr>
          <w:t xml:space="preserve">https://archive.org/details/economicinstitut0000will</w:t>
        </w:r>
      </w:hyperlink>
      <w:r w:rsidDel="00000000" w:rsidR="00000000" w:rsidRPr="00000000">
        <w:rPr>
          <w:rFonts w:ascii="Times New Roman" w:cs="Times New Roman" w:eastAsia="Times New Roman" w:hAnsi="Times New Roman"/>
          <w:sz w:val="24"/>
          <w:szCs w:val="24"/>
          <w:rtl w:val="0"/>
        </w:rPr>
        <w:t xml:space="preserve">  [Accessed: 28 October 2024].</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Commerce &amp; Contracting. (2022). Most Negotiated Terms 2022. Available at: </w:t>
      </w:r>
      <w:hyperlink r:id="rId10">
        <w:r w:rsidDel="00000000" w:rsidR="00000000" w:rsidRPr="00000000">
          <w:rPr>
            <w:rFonts w:ascii="Times New Roman" w:cs="Times New Roman" w:eastAsia="Times New Roman" w:hAnsi="Times New Roman"/>
            <w:color w:val="1155cc"/>
            <w:sz w:val="24"/>
            <w:szCs w:val="24"/>
            <w:u w:val="single"/>
            <w:rtl w:val="0"/>
          </w:rPr>
          <w:t xml:space="preserve">https://www.worldcc.com/Portals/IACCM/Resources/11463_0_Most-Negotiated-Terms-2022.pdf</w:t>
        </w:r>
      </w:hyperlink>
      <w:r w:rsidDel="00000000" w:rsidR="00000000" w:rsidRPr="00000000">
        <w:rPr>
          <w:rFonts w:ascii="Times New Roman" w:cs="Times New Roman" w:eastAsia="Times New Roman" w:hAnsi="Times New Roman"/>
          <w:sz w:val="24"/>
          <w:szCs w:val="24"/>
          <w:rtl w:val="0"/>
        </w:rPr>
        <w:t xml:space="preserve">  [Accessed: 27 October 2024].</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K. and Zhou, Z. (2012). Research Note—Lock-In Strategy in Software Competition: Open-Source Software vs. Proprietary Software. Information Systems Research, 23(2), pp. 536-545.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https://www.researchgate.net/publication/260098610_Research_Note_Lock-In_Strategy_in_Software_Competition_Open-Source_Software_vs_Proprietary_Software</w:t>
        </w:r>
      </w:hyperlink>
      <w:r w:rsidDel="00000000" w:rsidR="00000000" w:rsidRPr="00000000">
        <w:rPr>
          <w:rFonts w:ascii="Times New Roman" w:cs="Times New Roman" w:eastAsia="Times New Roman" w:hAnsi="Times New Roman"/>
          <w:sz w:val="24"/>
          <w:szCs w:val="24"/>
          <w:rtl w:val="0"/>
        </w:rPr>
        <w:t xml:space="preserve">  [Accessed: 28 October 2024].</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searchgate.net/publication/260098610_Research_Note_Lock-In_Strategy_in_Software_Competition_Open-Source_Software_vs_Proprietary_Software" TargetMode="External"/><Relationship Id="rId10" Type="http://schemas.openxmlformats.org/officeDocument/2006/relationships/hyperlink" Target="https://www.worldcc.com/Portals/IACCM/Resources/11463_0_Most-Negotiated-Terms-2022.pdf" TargetMode="External"/><Relationship Id="rId9" Type="http://schemas.openxmlformats.org/officeDocument/2006/relationships/hyperlink" Target="https://archive.org/details/economicinstitut0000will" TargetMode="External"/><Relationship Id="rId5" Type="http://schemas.openxmlformats.org/officeDocument/2006/relationships/styles" Target="styles.xml"/><Relationship Id="rId6" Type="http://schemas.openxmlformats.org/officeDocument/2006/relationships/hyperlink" Target="http://eprints.lse.ac.uk/69810/" TargetMode="External"/><Relationship Id="rId7" Type="http://schemas.openxmlformats.org/officeDocument/2006/relationships/hyperlink" Target="https://www.mdpi.com/2227-7390/12/3/387" TargetMode="External"/><Relationship Id="rId8" Type="http://schemas.openxmlformats.org/officeDocument/2006/relationships/hyperlink" Target="https://www.researchgate.net/publication/200167344_Information_Rules_A_Strategic_Guide_to_The_Network_Ec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