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</w:rPr>
        <w:t xml:space="preserve">Министерство науки и высшего образования Российской Федерации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Полное наименование образовательной организации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Институт / факультет</w:t>
      </w:r>
    </w:p>
    <w:p>
      <w:pPr>
        <w:spacing w:after="2400" w:before="0" w:line="276"/>
        <w:jc w:val="center"/>
      </w:pPr>
      <w:r>
        <w:rPr>
          <w:rFonts w:ascii="Times New Roman" w:cs="Times New Roman" w:eastAsia="Times New Roman" w:hAnsi="Times New Roman"/>
        </w:rPr>
        <w:t xml:space="preserve">Кафедра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наименование кафедры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</w:rPr>
        <w:t xml:space="preserve">по практической работе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</w:rPr>
        <w:t xml:space="preserve">по дисциплине «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наименование дисциплины</w:t>
      </w:r>
      <w:r>
        <w:rPr>
          <w:rFonts w:ascii="Times New Roman" w:cs="Times New Roman" w:eastAsia="Times New Roman" w:hAnsi="Times New Roman"/>
        </w:rPr>
        <w:t xml:space="preserve">»</w:t>
      </w:r>
    </w:p>
    <w:p>
      <w:pPr>
        <w:spacing w:after="2400" w:before="0" w:line="276"/>
        <w:jc w:val="center"/>
      </w:pPr>
      <w:r>
        <w:rPr>
          <w:rFonts w:ascii="Times New Roman" w:cs="Times New Roman" w:eastAsia="Times New Roman" w:hAnsi="Times New Roman"/>
        </w:rPr>
        <w:t xml:space="preserve">на тему: «</w:t>
      </w:r>
      <w:r>
        <w:rPr>
          <w:rFonts w:ascii="Times New Roman" w:cs="Times New Roman" w:eastAsia="Times New Roman" w:hAnsi="Times New Roman"/>
          <w:b/>
          <w:bCs/>
        </w:rPr>
        <w:t xml:space="preserve">Проектирование пользовательских интерфейсов и разработка веб-сайта застройщика жилья «Новый Горизонт»</w:t>
      </w:r>
      <w:r>
        <w:rPr>
          <w:rFonts w:ascii="Times New Roman" w:cs="Times New Roman" w:eastAsia="Times New Roman" w:hAnsi="Times New Roman"/>
        </w:rPr>
        <w:t xml:space="preserve">»</w:t>
      </w:r>
    </w:p>
    <w:p>
      <w:pPr>
        <w:spacing w:line="300"/>
        <w:ind w:left="5103"/>
        <w:jc w:val="left"/>
      </w:pPr>
      <w:r>
        <w:rPr>
          <w:rFonts w:ascii="Times New Roman" w:cs="Times New Roman" w:eastAsia="Times New Roman" w:hAnsi="Times New Roman"/>
        </w:rPr>
        <w:t xml:space="preserve">Выполнил: студент группы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_____</w:t>
      </w:r>
    </w:p>
    <w:p>
      <w:pPr>
        <w:spacing w:after="240" w:line="300"/>
        <w:ind w:left="5103"/>
        <w:jc w:val="left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Фамилия И. О.</w:t>
      </w:r>
      <w:r>
        <w:rPr>
          <w:rFonts w:ascii="Times New Roman" w:cs="Times New Roman" w:eastAsia="Times New Roman" w:hAnsi="Times New Roman"/>
        </w:rPr>
        <w:t xml:space="preserve">  ____________</w:t>
      </w:r>
    </w:p>
    <w:p>
      <w:pPr>
        <w:spacing w:line="300"/>
        <w:ind w:left="5103"/>
        <w:jc w:val="left"/>
      </w:pPr>
      <w:r>
        <w:rPr>
          <w:rFonts w:ascii="Times New Roman" w:cs="Times New Roman" w:eastAsia="Times New Roman" w:hAnsi="Times New Roman"/>
        </w:rPr>
        <w:t xml:space="preserve">Проверил: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должность, учёная степень</w:t>
      </w:r>
    </w:p>
    <w:p>
      <w:pPr>
        <w:spacing w:line="300"/>
        <w:ind w:left="5103"/>
        <w:jc w:val="left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Фамилия И. О.</w:t>
      </w:r>
      <w:r>
        <w:rPr>
          <w:rFonts w:ascii="Times New Roman" w:cs="Times New Roman" w:eastAsia="Times New Roman" w:hAnsi="Times New Roman"/>
        </w:rPr>
        <w:t xml:space="preserve">  ____________</w:t>
      </w:r>
    </w:p>
    <w:p>
      <w:pPr>
        <w:spacing w:after="2000" w:line="300"/>
        <w:ind w:left="5103"/>
        <w:jc w:val="left"/>
      </w:pPr>
      <w:r>
        <w:rPr>
          <w:rFonts w:ascii="Times New Roman" w:cs="Times New Roman" w:eastAsia="Times New Roman" w:hAnsi="Times New Roman"/>
        </w:rPr>
        <w:t xml:space="preserve">Оценка: ____________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Город</w:t>
      </w:r>
      <w:r>
        <w:rPr>
          <w:rFonts w:ascii="Times New Roman" w:cs="Times New Roman" w:eastAsia="Times New Roman" w:hAnsi="Times New Roman"/>
        </w:rPr>
        <w:t xml:space="preserve"> 2026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Содержание</w:t>
      </w:r>
    </w:p>
    <w:p>
      <w:pPr>
        <w:tabs>
          <w:tab w:val="right" w:pos="935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Введение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3</w:t>
      </w:r>
    </w:p>
    <w:p>
      <w:pPr>
        <w:tabs>
          <w:tab w:val="right" w:pos="935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Обзор литературы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4</w:t>
      </w:r>
    </w:p>
    <w:p>
      <w:pPr>
        <w:tabs>
          <w:tab w:val="right" w:pos="935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Методология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5</w:t>
      </w:r>
    </w:p>
    <w:p>
      <w:pPr>
        <w:tabs>
          <w:tab w:val="right" w:pos="935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Создание макетов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7</w:t>
      </w:r>
    </w:p>
    <w:p>
      <w:pPr>
        <w:tabs>
          <w:tab w:val="right" w:pos="935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Сравнительный анализ инструментов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12</w:t>
      </w:r>
    </w:p>
    <w:p>
      <w:pPr>
        <w:tabs>
          <w:tab w:val="right" w:pos="935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Пользовательское тестирование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15</w:t>
      </w:r>
    </w:p>
    <w:p>
      <w:pPr>
        <w:tabs>
          <w:tab w:val="right" w:pos="935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Выводы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18</w:t>
      </w:r>
    </w:p>
    <w:p>
      <w:pPr>
        <w:tabs>
          <w:tab w:val="right" w:pos="935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 Список использованных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19</w:t>
      </w:r>
    </w:p>
    <w:p>
      <w:pPr>
        <w:tabs>
          <w:tab w:val="right" w:pos="935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А. Экранные формы веб-сайта</w:t>
      </w:r>
      <w:r>
        <w:rPr>
          <w:rFonts w:ascii="Times New Roman" w:cs="Times New Roman" w:eastAsia="Times New Roman" w:hAnsi="Times New Roman"/>
          <w:sz w:val="28"/>
          <w:szCs w:val="28"/>
        </w:rPr>
        <w:tab/>
        <w:t xml:space="preserve">21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1 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Рынок нового жилья в последние годы переходит в цифровой формат: покупатель выбирает квартиру, сравнивает планировки, рассчитывает ипотеку и бронирует объект, не посещая офис продаж. Поэтому сайт застройщика перестаёт быть «визиткой» и становится основным каналом продаж, а качество его пользовательского интерфейса напрямую влияет на то, дойдёт ли посетитель до заявки. Ошибки проектирования — перегруженный каталог, непонятные фильтры, скрытая итоговая цена, сложный вход — приводят к отказу от покупки уже на первом экране.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Цель работы</w:t>
      </w:r>
      <w:r>
        <w:rPr>
          <w:rFonts w:ascii="Times New Roman" w:cs="Times New Roman" w:eastAsia="Times New Roman" w:hAnsi="Times New Roman"/>
        </w:rPr>
        <w:t xml:space="preserve"> — спроектировать пользовательский интерфейс веб-сайта застройщика жилья, обосновать проектные решения с позиции принципов проектирования интерфейсов, реализовать интерфейс в виде работающего веб-приложения и оценить его удобство с помощью тестирования.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достижения цели поставлены следующие </w:t>
      </w:r>
      <w:r>
        <w:rPr>
          <w:rFonts w:ascii="Times New Roman" w:cs="Times New Roman" w:eastAsia="Times New Roman" w:hAnsi="Times New Roman"/>
          <w:b/>
          <w:bCs/>
        </w:rPr>
        <w:t xml:space="preserve">задачи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изучить литературу и стандарты по проектированию интерфейсов, юзабилити и доступности;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определить роли пользователей (клиент, менеджер, администратор) и ключевые пользовательские сценарии;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разработать информационную архитектуру сайта и каркасные макеты (wireframes) основных экранов;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сформировать дизайн-систему: палитру, типографику, сетку и библиотеку компонентов;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реализовать интерфейс на React с серверной частью на Django REST Framework и СУБД PostgreSQL;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сравнить инструменты для создания макетов и обосновать выбор подхода;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провести тестирование интерфейса, проанализировать результаты и внести исправления.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Объект работы</w:t>
      </w:r>
      <w:r>
        <w:rPr>
          <w:rFonts w:ascii="Times New Roman" w:cs="Times New Roman" w:eastAsia="Times New Roman" w:hAnsi="Times New Roman"/>
        </w:rPr>
        <w:t xml:space="preserve"> — веб-сайт девелоперской компании «Новый Горизонт» (компания, жилые комплексы и данные вымышленные). </w:t>
      </w:r>
      <w:r>
        <w:rPr>
          <w:rFonts w:ascii="Times New Roman" w:cs="Times New Roman" w:eastAsia="Times New Roman" w:hAnsi="Times New Roman"/>
          <w:b/>
          <w:bCs/>
        </w:rPr>
        <w:t xml:space="preserve">Предмет</w:t>
      </w:r>
      <w:r>
        <w:rPr>
          <w:rFonts w:ascii="Times New Roman" w:cs="Times New Roman" w:eastAsia="Times New Roman" w:hAnsi="Times New Roman"/>
        </w:rPr>
        <w:t xml:space="preserve"> — пользовательский интерфейс сайта: информационная страница застройщика, каталог квартир с расширенной карточкой, личный кабинет с программой лояльности, ипотечный калькулятор, двухфакторная аутентификация через email и панели менеджера и администратора.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Результатом работы является работающий веб-сайт, набор каркасных макетов и дизайн-система, а также отчёт с анализом инструментов и результатами тестирования.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2 Обзор литературы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Теоретической основой работы послужили классические труды по проектированию взаимодействия. Д. Норман в книге «Дизайн привычных вещей» [1] вводит понятия аффордансов, означающих, обратной связи и ментальных моделей: пользователь должен по внешнему виду элемента понимать, что с ним можно сделать, и сразу видеть результат действия. С. Круг в работе «Не заставляйте меня думать» [2] показывает, что посетители сайтов не читают страницы, а сканируют их, поэтому каждый экран должен быть очевидным, а навигация — привычной. А. Купер [3] предлагает целеориентированное проектирование на основе персонажей (персон) и сценариев, а Дж. Гарретт [4] описывает пять уровней опыта взаимодействия: стратегию, набор возможностей, структуру, компоновку и визуальное оформление. Эта модель задала порядок проектирования в работе.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Практическим инструментом оценки выступили 10 эвристик Я. Нильсена [5]: видимость состояния системы, соответствие реальному миру, контроль и свобода пользователя, единообразие, предотвращение ошибок, узнавание вместо припоминания, гибкость, минималистичный дизайн, помощь в исправлении ошибок и справка. Законы Фиттса и Хика и принципы гештальта систематизированы в справочниках С. Вайншенк [6] и У. Лидвелла [7].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Нормативную базу составили ГОСТ Р ИСО 9241-210-2016 [8], задающий цикл человекоориентированного проектирования (понимание контекста, требования, проектные решения, оценка), рекомендации W3C WCAG 2.2 [9] и ГОСТ Р 52872-2019 [10] по доступности (контраст текста не менее 4,5:1, работа с клавиатуры, текстовые альтернативы). Изучены также руководства Material Design 3 [11] и Apple HIG [12].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Методика оценки опирается на вывод Я. Нильсена о том, что 5 участников выявляют около 85 % проблем юзабилити [13], и на шкалу SUS Дж. Брука [14] (10 утверждений, результат 0–100 баллов). Для обзора инструментов использованы их официальные сайты и обзоры доступности сервисов в России [15–23].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Вывод по обзору:</w:t>
      </w:r>
      <w:r>
        <w:rPr>
          <w:rFonts w:ascii="Times New Roman" w:cs="Times New Roman" w:eastAsia="Times New Roman" w:hAnsi="Times New Roman"/>
        </w:rPr>
        <w:t xml:space="preserve"> литература сходится в том, что удобный интерфейс получается не из «красивой картинки», а из итеративного цикла «исследование — макет — проверка — исправление». Поэтому в работе каждое проектное решение связано с конкретным принципом, а итоговый интерфейс проверялся тестированием.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3 Методология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работе применён </w:t>
      </w:r>
      <w:r>
        <w:rPr>
          <w:rFonts w:ascii="Times New Roman" w:cs="Times New Roman" w:eastAsia="Times New Roman" w:hAnsi="Times New Roman"/>
          <w:b/>
          <w:bCs/>
        </w:rPr>
        <w:t xml:space="preserve">человекоориентированный итеративный подход</w:t>
      </w:r>
      <w:r>
        <w:rPr>
          <w:rFonts w:ascii="Times New Roman" w:cs="Times New Roman" w:eastAsia="Times New Roman" w:hAnsi="Times New Roman"/>
        </w:rPr>
        <w:t xml:space="preserve"> по ГОСТ Р ИСО 9241-210 [8], адаптированный под учебный проект. Работа велась циклами: требования → каркасные макеты → высокодетализированный интерактивный прототип в коде → проверка → исправление. Обратная связь заказчика (автора задания) после каждой итерации учитывалась в следующем цикле.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Анализ контекста и роли пользователей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 техническому заданию выделены три роли с разными целями (таблица 1). Для роли «Клиент» дополнительно сформулированы два персонажа: молодая семья, выбирающая двухкомнатную квартиру в ипотеку с господдержкой, и частный инвестор, которому важны цена за м², сроки сдачи и сравнение вариантов.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Роли пользователей и их ключевые задачи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4"/>
        <w:gridCol w:w="3208"/>
        <w:gridCol w:w="4544"/>
      </w:tblGrid>
      <w:tr>
        <w:trPr>
          <w:tblHeader/>
        </w:trPr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32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Цели</w:t>
            </w:r>
          </w:p>
        </w:tc>
        <w:tc>
          <w:tcPr>
            <w:tcW w:type="dxa" w:w="4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Ключевые сценарии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32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Выбрать квартиру, понять итоговую цену, оформить покупку</w:t>
            </w:r>
          </w:p>
        </w:tc>
        <w:tc>
          <w:tcPr>
            <w:tcW w:type="dxa" w:w="4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Подбор по фильтрам, карточка квартиры, сравнение, бронь, заявка на ипотеку, личный кабинет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Менеджер</w:t>
            </w:r>
          </w:p>
        </w:tc>
        <w:tc>
          <w:tcPr>
            <w:tcW w:type="dxa" w:w="32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Быстро обрабатывать обращения и сделки</w:t>
            </w:r>
          </w:p>
        </w:tc>
        <w:tc>
          <w:tcPr>
            <w:tcW w:type="dxa" w:w="4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Подтверждение и отклонение броней, решение по ипотеке, звонки, правка цен и статусов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32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Управлять доступом и условиями продаж</w:t>
            </w:r>
          </w:p>
        </w:tc>
        <w:tc>
          <w:tcPr>
            <w:tcW w:type="dxa" w:w="4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Назначение ролей, блокировка, уровни лояльности, ипотечные программы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Информационная архитектура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Структура сайта построена от сценариев: публичная часть (О компании, Квартиры, Проекты, Ипотека, Скидки, Новости, Сравнение), личный кабинет (Обзор, Мои брони, Ипотека, Избранное, Профиль), а также отдельные рабочие места менеджера и администратора. Главное меню содержит шесть пунктов, что соответствует закону Хика и не перегружает навигацию; служебные разделы вынесены в меню пользователя. Состояние фильтров каталога хранится в адресной строке, поэтому подборку можно сохранить или отправить ссылкой.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Подход к макетированию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Сначала были разработаны </w:t>
      </w:r>
      <w:r>
        <w:rPr>
          <w:rFonts w:ascii="Times New Roman" w:cs="Times New Roman" w:eastAsia="Times New Roman" w:hAnsi="Times New Roman"/>
          <w:b/>
          <w:bCs/>
        </w:rPr>
        <w:t xml:space="preserve">низкодетализированные каркасы</w:t>
      </w:r>
      <w:r>
        <w:rPr>
          <w:rFonts w:ascii="Times New Roman" w:cs="Times New Roman" w:eastAsia="Times New Roman" w:hAnsi="Times New Roman"/>
        </w:rPr>
        <w:t xml:space="preserve"> (wireframes) ключевых экранов — главной страницы, карточки квартиры и мобильного каталога. Они фиксируют иерархию блоков без цвета и шрифтов. Затем была сформирована </w:t>
      </w:r>
      <w:r>
        <w:rPr>
          <w:rFonts w:ascii="Times New Roman" w:cs="Times New Roman" w:eastAsia="Times New Roman" w:hAnsi="Times New Roman"/>
          <w:b/>
          <w:bCs/>
        </w:rPr>
        <w:t xml:space="preserve">дизайн-система</w:t>
      </w:r>
      <w:r>
        <w:rPr>
          <w:rFonts w:ascii="Times New Roman" w:cs="Times New Roman" w:eastAsia="Times New Roman" w:hAnsi="Times New Roman"/>
        </w:rPr>
        <w:t xml:space="preserve"> (дизайн-токены цвета, типографики, отступов и радиусов), и высокодетализированные макеты сразу создавались в коде как React-компоненты (подход «code-first»).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Такой выбор обоснован тремя причинами: по заданию требовался готовый работающий сайт, а не только макет; компонентная модель React повторяет компонентную модель графических редакторов (кнопка, карточка, бейдж), поэтому дизайн-система переиспользуется на всех экранах; интерактивный прототип в браузере позволяет тестировать реальные сценарии с настоящими данными — фильтрацию, расчёт ипотеки, вход с кодом. Ограничения подхода и альтернативы рассмотрены в разделе 5.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Используемые инструменты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Инструменты, использованные в работе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005"/>
        <w:gridCol w:w="4537"/>
      </w:tblGrid>
      <w:tr>
        <w:trPr>
          <w:tblHeader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Инструмент</w:t>
            </w:r>
          </w:p>
        </w:tc>
        <w:tc>
          <w:tcPr>
            <w:tcW w:type="dxa" w:w="4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 в проекте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Каркасные макеты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HTML/CSS-заготовки</w:t>
            </w:r>
          </w:p>
        </w:tc>
        <w:tc>
          <w:tcPr>
            <w:tcW w:type="dxa" w:w="4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Low-fi wireframes главной, карточки квартиры, мобильного каталога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Интерфейс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React 19, React Router 7, Vite 8</w:t>
            </w:r>
          </w:p>
        </w:tc>
        <w:tc>
          <w:tcPr>
            <w:tcW w:type="dxa" w:w="4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Компоненты, маршрутизация, сборка и горячая перезагрузка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Визуальный стиль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CSS-переменные (дизайн-токены), шрифт Onest, иконки Lucide</w:t>
            </w:r>
          </w:p>
        </w:tc>
        <w:tc>
          <w:tcPr>
            <w:tcW w:type="dxa" w:w="4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Единая палитра, типографика с полной поддержкой кириллицы, иконки в одном стиле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Серверная часть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Django 5.2, Django REST Framework, SimpleJWT</w:t>
            </w:r>
          </w:p>
        </w:tc>
        <w:tc>
          <w:tcPr>
            <w:tcW w:type="dxa" w:w="4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REST API, роли, двухфакторная аутентификация, бизнес-логика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PostgreSQL 16</w:t>
            </w:r>
          </w:p>
        </w:tc>
        <w:tc>
          <w:tcPr>
            <w:tcW w:type="dxa" w:w="4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Хранение каталога, броней, заявок, пользователей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Развёртывание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Docker Compose, nginx, Mailpit</w:t>
            </w:r>
          </w:p>
        </w:tc>
        <w:tc>
          <w:tcPr>
            <w:tcW w:type="dxa" w:w="4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Запуск одной командой, тестовый почтовый ящик для кодов 2FA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Playwright, Django TestCase, валидатор палитры</w:t>
            </w:r>
          </w:p>
        </w:tc>
        <w:tc>
          <w:tcPr>
            <w:tcW w:type="dxa" w:w="4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Скриншоты и сквозные сценарии, 18 тестов API, проверка контраста и различимости цветов графиков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Контент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Unsplash (лицензия Unsplash License)</w:t>
            </w:r>
          </w:p>
        </w:tc>
        <w:tc>
          <w:tcPr>
            <w:tcW w:type="dxa" w:w="45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Фотографии жилых комплексов и интерьеров, хранятся в составе проекта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4 Создание макетов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Каркасные макеты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Каркас главной страницы (рисунок 1) построен по принципу «перевёрнутой пирамиды»: в первом экране — главный оффер, доказательства надёжности (бейджи «214-ФЗ», «Сдаём в срок») и быстрый подбор квартиры (3), который позволяет начать сценарий за два клика. Далее блоки следуют вопросам покупателя: «кто строит» (4, 6), «что продаётся» (5), «как купить» (7), «сколько стоит и как сэкономить» (8, 9), «кто уже купил» (10) и «как связаться» (11).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048125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1 – Каркасный макет главной страницы (цифрами обозначены функциональные блоки)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Каркас карточки квартиры (рисунок 2) разделён на две колонки: слева — визуальная информация (фото, планировка, положение на этаже) и характеристики, справа — закреплённая при прокрутке панель цены с главным действием «Забронировать» и мини-калькулятором ипотеки. Так цена и действие всегда находятся в зоне видимости (эвристика «видимость состояния системы»), а пользователь не теряет контекст при изучении деталей.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772025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2 – Каркасный макет карточки квартиры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Дизайн-система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Дизайн-система (рисунок 3) задаёт общий визуальный язык. Основной цвет — глубокий тёмно-синий (#0D1B2A) передаёт надёжность, акцентный оранжевый (#F25C2B) используется только для целевых действий и выделений, поэтому взгляд сразу находит кнопку бронирования. Тёплый светлый фон (#F6F4F0) снижает утомляемость по сравнению с чисто белым. Шрифт Onest выбран за полную поддержку кириллицы и выразительные начертания для цен. Все размеры кратны 8 px, радиусы скруглений унифицированы, цвета статусов («В продаже», «Забронирована», «Продана») постоянны на всех экранах — это реализует эвристику единообразия.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76875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3 – Дизайн-система: палитра, типографика и базовые компоненты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Контраст основного текста к фону составляет 15,8:1, белого текста на тёмно-синем — 17,4:1, что превышает требование WCAG AA (4,5:1). Цвета двух- и трёхсерийных графиков в панели менеджера и ипотечном калькуляторе проверены валидатором на различимость при нарушениях цветового зрения. Выявленные при проверке ограничения контраста акцентных элементов описаны в разделе 6.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Высокодетализированные макеты и их обоснование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Главная страница (рисунок 4) реализует каркас из рисунка 1. Быстрый подбор содержит всего пять вариантов комнатности и один выпадающий список бюджета: меньше вариантов — быстрее выбор (закон Хика). Крупные элементы управления (высота кнопок 48–56 px, чипов 40 px) упрощают попадание курсором и пальцем (закон Фиттса).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4 – Главная страница сайта: первый экран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Каталог (рисунок 5) использует привычную для сайтов недвижимости схему «фильтры слева — результаты справа». Карточка квартиры объединяет фото интерьера и мини-планировку в углу: покупатель сразу видит и «как будет выглядеть», и «как устроено». Персональная цена со скидкой и зачёркнутая базовая цена показывают выгоду программы лояльности прямо в списке. Кнопки «Сравнить» и «В избранное» дают обратную связь мгновенно — подсвечиваются и сопровождаются всплывающим уведомлением.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5 – Каталог квартир с фильтрами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Карточка квартиры (рисунок 6) повторяет каркас: вкладки «Фото / Планировка / На этаже» позволяют переключать представления без перехода на другие страницы (узнавание вместо припоминания), а панель цены с бронированием и расчётом ипотеки закреплена справа. Экран ввода кода двухфакторной аутентификации (рисунок А.4) состоит из шести полей с автоматическим переходом и поддержкой вставки из буфера, показывает замаскированный адрес почты, время действия кода и таймер повторной отправки — так пользователь всегда понимает, что происходит и что делать дальше.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6 – Карточка квартиры: галерея, цена и мини-калькулятор ипотеки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Остальные экраны — страница жилого комплекса, ипотечный калькулятор, программа лояльности, личный кабинет, сравнение, панели менеджера и администратора, мобильная версия — приведены в приложении А. Мобильная версия построена по принципу «одна колонка»: фильтры раскрываются по кнопке, меню переходит в «бургер», горизонтальная прокрутка отсутствует на ширине 390 px.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5 Сравнительный анализ инструментов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обоснования выбора подхода были рассмотрены инструменты трёх классов: графические редакторы интерфейсов с прототипированием (Figma, Penpot, Pixso, Sketch, Lunacy, Adobe XD), специализированные средства прототипирования и каркасного макетирования (Axure RP, Balsamiq) и подход «макет в коде» (React-компоненты с дизайн-токенами). Отдельно учитывалась доступность сервисов из России: с 2022 года оплата зарубежных подписок российскими картами невозможна, а доступ к ряду сервисов нестабилен [21].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Обзор инструментов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Figma</w:t>
      </w:r>
      <w:r>
        <w:rPr>
          <w:rFonts w:ascii="Times New Roman" w:cs="Times New Roman" w:eastAsia="Times New Roman" w:hAnsi="Times New Roman"/>
        </w:rPr>
        <w:t xml:space="preserve"> — облачный редактор и фактический отраслевой стандарт: совместное редактирование в реальном времени, компоненты и варианты, авто-раскладка (Auto Layout), переменные для дизайн-токенов, интерактивные прототипы, режим передачи разработчикам (Dev Mode) и большой каталог плагинов [15]. В России бесплатный тариф продолжает работать, но оплатить платные тарифы российской картой нельзя, и в 2026 году фиксировались перебои доступа [21].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Penpot</w:t>
      </w:r>
      <w:r>
        <w:rPr>
          <w:rFonts w:ascii="Times New Roman" w:cs="Times New Roman" w:eastAsia="Times New Roman" w:hAnsi="Times New Roman"/>
        </w:rPr>
        <w:t xml:space="preserve"> — редактор с открытым исходным кодом, работающий в браузере. Его можно развернуть на собственном сервере через Docker, что снимает риски блокировок и обеспечивает контроль над данными. Penpot опирается на открытые стандарты (SVG, CSS): раскладки Flex и Grid в нём соответствуют CSS, поэтому макет проще переносится в вёрстку [16].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Pixso</w:t>
      </w:r>
      <w:r>
        <w:rPr>
          <w:rFonts w:ascii="Times New Roman" w:cs="Times New Roman" w:eastAsia="Times New Roman" w:hAnsi="Times New Roman"/>
        </w:rPr>
        <w:t xml:space="preserve"> — браузерный редактор с русскоязычным интерфейсом и импортом файлов Figma; функционально близок к Figma и позиционируется как замена для российских команд [17, 21]. </w:t>
      </w:r>
      <w:r>
        <w:rPr>
          <w:rFonts w:ascii="Times New Roman" w:cs="Times New Roman" w:eastAsia="Times New Roman" w:hAnsi="Times New Roman"/>
          <w:b/>
          <w:bCs/>
        </w:rPr>
        <w:t xml:space="preserve">Lunacy</w:t>
      </w:r>
      <w:r>
        <w:rPr>
          <w:rFonts w:ascii="Times New Roman" w:cs="Times New Roman" w:eastAsia="Times New Roman" w:hAnsi="Times New Roman"/>
        </w:rPr>
        <w:t xml:space="preserve"> (Icons8) — бесплатный настольный редактор для Windows, macOS и Linux, работающий без подключения к сети, с поддержкой формата Sketch и русской локализацией [20].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Sketch</w:t>
      </w:r>
      <w:r>
        <w:rPr>
          <w:rFonts w:ascii="Times New Roman" w:cs="Times New Roman" w:eastAsia="Times New Roman" w:hAnsi="Times New Roman"/>
        </w:rPr>
        <w:t xml:space="preserve"> — настольный редактор только для macOS, исторически первый массовый инструмент UI-дизайна с развитой системой символов и библиотек [18]. </w:t>
      </w:r>
      <w:r>
        <w:rPr>
          <w:rFonts w:ascii="Times New Roman" w:cs="Times New Roman" w:eastAsia="Times New Roman" w:hAnsi="Times New Roman"/>
          <w:b/>
          <w:bCs/>
        </w:rPr>
        <w:t xml:space="preserve">Adobe XD</w:t>
      </w:r>
      <w:r>
        <w:rPr>
          <w:rFonts w:ascii="Times New Roman" w:cs="Times New Roman" w:eastAsia="Times New Roman" w:hAnsi="Times New Roman"/>
        </w:rPr>
        <w:t xml:space="preserve"> с 2023 года находится в режиме поддержки (только исправления ошибок, без новых функций), а отдельная подписка на него прекращена [22], поэтому для новых проектов он не рекомендуется.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Axure RP</w:t>
      </w:r>
      <w:r>
        <w:rPr>
          <w:rFonts w:ascii="Times New Roman" w:cs="Times New Roman" w:eastAsia="Times New Roman" w:hAnsi="Times New Roman"/>
        </w:rPr>
        <w:t xml:space="preserve"> предназначен для сложных интерактивных прототипов с условиями, переменными и динамическими панелями и подходит для проработки логики форм и состояний [19]. </w:t>
      </w:r>
      <w:r>
        <w:rPr>
          <w:rFonts w:ascii="Times New Roman" w:cs="Times New Roman" w:eastAsia="Times New Roman" w:hAnsi="Times New Roman"/>
          <w:b/>
          <w:bCs/>
        </w:rPr>
        <w:t xml:space="preserve">Balsamiq</w:t>
      </w:r>
      <w:r>
        <w:rPr>
          <w:rFonts w:ascii="Times New Roman" w:cs="Times New Roman" w:eastAsia="Times New Roman" w:hAnsi="Times New Roman"/>
        </w:rPr>
        <w:t xml:space="preserve"> — инструмент быстрых низкодетализированных каркасов в «эскизной» стилистике, которая намеренно отвлекает от визуальных деталей и фокусирует обсуждение на структуре [23].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Макет в коде</w:t>
      </w:r>
      <w:r>
        <w:rPr>
          <w:rFonts w:ascii="Times New Roman" w:cs="Times New Roman" w:eastAsia="Times New Roman" w:hAnsi="Times New Roman"/>
        </w:rPr>
        <w:t xml:space="preserve"> (React + дизайн-токены) даёт интерактивный прототип, неотличимый от продукта, с реальными данными и логикой. Минусы: высокий порог входа (нужны навыки разработки), менее удобная совместная работа нетехнических участников и более медленные «пробы» визуальных вариантов, чем в графическом редакторе.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Сравнение по критериям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Сравнение инструментов проектирования интерфейсов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1"/>
        <w:gridCol w:w="1156"/>
        <w:gridCol w:w="1266"/>
        <w:gridCol w:w="1321"/>
        <w:gridCol w:w="1266"/>
        <w:gridCol w:w="1376"/>
        <w:gridCol w:w="1540"/>
      </w:tblGrid>
      <w:tr>
        <w:trPr>
          <w:tblHeader/>
        </w:trPr>
        <w:tc>
          <w:tcPr>
            <w:tcW w:type="dxa" w:w="1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Совместная работа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Прототипирование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Передача в разработку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Лицензия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Доступ из РФ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Figma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Браузер, Win/Mac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Да, в реальном времени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 Mode, CSS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Бесплатно с ограничениями / подписка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Бесплатный тариф; оплата недоступна, перебои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Penpot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Браузер, свой сервер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CSS/SVG, Flex/Grid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Открытый код, бесплатно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Полный, в т. ч. на своём сервере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Pixso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Браузер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Код, импорт .fig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Бесплатно / подписка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Да, русский интерфейс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Lunacy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Win/Mac/Linux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Ограниченная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Базовое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Экспорт ресурсов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Да, работает офлайн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Sketch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Только macOS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Через облако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Через плагины/облако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Оплата затруднена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Adobe XD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Win/Mac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Ограниченная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составе Creative Cloud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развивается с 2023 г.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Axure RP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Win/Mac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Через облако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Очень высокое (логика)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Спецификации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Оплата затруднена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Balsamiq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Браузер, Win/Mac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Низкое (каркасы)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Подписка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Оплата затруднена</w:t>
            </w:r>
          </w:p>
        </w:tc>
      </w:tr>
      <w:tr>
        <w:trPr>
          <w:cantSplit/>
        </w:trPr>
        <w:tc>
          <w:tcPr>
            <w:tcW w:type="dxa" w:w="14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(React)</w:t>
            </w:r>
          </w:p>
        </w:tc>
        <w:tc>
          <w:tcPr>
            <w:tcW w:type="dxa" w:w="1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Любая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Через Git</w:t>
            </w:r>
          </w:p>
        </w:tc>
        <w:tc>
          <w:tcPr>
            <w:tcW w:type="dxa" w:w="13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Максимальное (реальный продукт)</w:t>
            </w:r>
          </w:p>
        </w:tc>
        <w:tc>
          <w:tcPr>
            <w:tcW w:type="dxa" w:w="1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требуется</w:t>
            </w:r>
          </w:p>
        </w:tc>
        <w:tc>
          <w:tcPr>
            <w:tcW w:type="dxa" w:w="1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Бесплатно (открытый код)</w:t>
            </w:r>
          </w:p>
        </w:tc>
        <w:tc>
          <w:tcPr>
            <w:tcW w:type="dxa" w:w="1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Полный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Для количественного сравнения применена взвешенная оценка по шкале от 1 до 5 (таблица 4). Веса отражают требования данной работы: возможность получить работающий интерактивный результат и доступность инструмента важнее, чем удобство многопользовательской работы, поскольку проект выполнялся одним студентом. Оценки являются экспертными и выставлены автором.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Взвешенная оценка инструментов (1 – низко, 5 – высоко)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1465"/>
        <w:gridCol w:w="1465"/>
        <w:gridCol w:w="1353"/>
        <w:gridCol w:w="1353"/>
        <w:gridCol w:w="1353"/>
        <w:gridCol w:w="902"/>
      </w:tblGrid>
      <w:tr>
        <w:trPr>
          <w:tblHeader/>
        </w:trPr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Функциональность прототипа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(вес 0,25)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Доступность в РФ и стоимость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(вес 0,25)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Связь с разработкой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(вес 0,2)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Скорость создания макета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(вес 0,15)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Совместная работа</w:t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(вес 0,15)</w:t>
            </w:r>
          </w:p>
        </w:tc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Figma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4,05</w:t>
            </w:r>
          </w:p>
        </w:tc>
      </w:tr>
      <w:tr>
        <w:trPr>
          <w:cantSplit/>
        </w:trPr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Penpot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4,20</w:t>
            </w:r>
          </w:p>
        </w:tc>
      </w:tr>
      <w:tr>
        <w:trPr>
          <w:cantSplit/>
        </w:trPr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Pixso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4,15</w:t>
            </w:r>
          </w:p>
        </w:tc>
      </w:tr>
      <w:tr>
        <w:trPr>
          <w:cantSplit/>
        </w:trPr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Lunacy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3,05</w:t>
            </w:r>
          </w:p>
        </w:tc>
      </w:tr>
      <w:tr>
        <w:trPr>
          <w:cantSplit/>
        </w:trPr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Axure RP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3,10</w:t>
            </w:r>
          </w:p>
        </w:tc>
      </w:tr>
      <w:tr>
        <w:trPr>
          <w:cantSplit/>
        </w:trPr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Balsamiq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2,30</w:t>
            </w:r>
          </w:p>
        </w:tc>
      </w:tr>
      <w:tr>
        <w:trPr>
          <w:cantSplit/>
        </w:trPr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(React)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4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4,25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 итогам сравнения наибольшую оценку получил подход «макет в коде» (4,25) благодаря максимальной функциональности прототипа и отсутствию зависимости от зарубежных сервисов; за ним следуют Penpot (4,20) и Pixso (4,15). Figma (4,05) остаётся лучшим инструментом по функциональности и командной работе, но её итог снижают риски доступа и невозможность оплаты из России.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Вывод:</w:t>
      </w:r>
      <w:r>
        <w:rPr>
          <w:rFonts w:ascii="Times New Roman" w:cs="Times New Roman" w:eastAsia="Times New Roman" w:hAnsi="Times New Roman"/>
        </w:rPr>
        <w:t xml:space="preserve"> для данного проекта выбрана комбинация «каркасы → дизайн-токены → компоненты React», которая дала работающий интерактивный прототип и сам продукт одновременно. Для командной работы с дизайнерами и заказчиком рекомендуется Penpot (развёртывание на собственном сервере) или Pixso: они сохраняют привычные для Figma приёмы и не зависят от зарубежных платёжных систем.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6 Пользовательское тестирование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Тестирование проводилось в два этапа: предварительная проверка интерфейса (автоматизированные сквозные сценарии и итерации по обратной связи заказчика) и модерируемое юзабилити-тестирование с участниками.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Предварительное тестирование и обратная связь заказчика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Сквозные сценарии выполнялись в браузере Chromium с помощью Playwright от лица всех трёх ролей: регистрация и вход с кодом из письма, фильтрация каталога, добавление в избранное и сравнение, бронирование квартиры клиентом, подтверждение брони менеджером, изменение роли пользователя администратором. Интерфейс проверялся на ширине экрана 1440, 1280, 1150 и 390 px. Серверная логика покрыта 18 автоматическими тестами (двухфакторная аутентификация, права ролей, жизненный цикл брони, программа лояльности, расчёт ипотеки). Выявленные проблемы и принятые решения приведены в таблице 5.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Проблемы, выявленные на предварительном этапе, и исправления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573"/>
        <w:gridCol w:w="1286"/>
        <w:gridCol w:w="1871"/>
        <w:gridCol w:w="3158"/>
      </w:tblGrid>
      <w:tr>
        <w:trPr>
          <w:tblHeader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1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Нарушенный принцип</w:t>
            </w:r>
          </w:p>
        </w:tc>
        <w:tc>
          <w:tcPr>
            <w:tcW w:type="dxa" w:w="3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Исправление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Пункты меню переносились на две строки при появлении кнопки «Панель менеджера»</w:t>
            </w:r>
          </w:p>
        </w:tc>
        <w:tc>
          <w:tcPr>
            <w:tcW w:type="dxa" w:w="1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Заказчик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Эстетичный и минималистичный дизайн</w:t>
            </w:r>
          </w:p>
        </w:tc>
        <w:tc>
          <w:tcPr>
            <w:tcW w:type="dxa" w:w="3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Запрет переноса, поэтапное сжатие шапки по ширине экрана, кнопка-иконка на узких экранах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Иллюстрации вместо реальных фото ЖК и квартир снижали доверие</w:t>
            </w:r>
          </w:p>
        </w:tc>
        <w:tc>
          <w:tcPr>
            <w:tcW w:type="dxa" w:w="1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Заказчик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Соответствие реальному миру</w:t>
            </w:r>
          </w:p>
        </w:tc>
        <w:tc>
          <w:tcPr>
            <w:tcW w:type="dxa" w:w="3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Реальные фотографии комплексов и интерьеров, подобранные по типу отделки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 со стороннего сервера не загружались у пользователя без VPN</w:t>
            </w:r>
          </w:p>
        </w:tc>
        <w:tc>
          <w:tcPr>
            <w:tcW w:type="dxa" w:w="1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Заказчик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Видимость состояния, надёжность</w:t>
            </w:r>
          </w:p>
        </w:tc>
        <w:tc>
          <w:tcPr>
            <w:tcW w:type="dxa" w:w="3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Фотографии включены в состав проекта; при ошибке показывается запасная иллюстрация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Поля ввода кода 2FA растягивались за пределы экрана</w:t>
            </w:r>
          </w:p>
        </w:tc>
        <w:tc>
          <w:tcPr>
            <w:tcW w:type="dxa" w:w="1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Скриншот-тест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Предотвращение ошибок</w:t>
            </w:r>
          </w:p>
        </w:tc>
        <w:tc>
          <w:tcPr>
            <w:tcW w:type="dxa" w:w="3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Исправлена сетка полей; проверено на 1440 и 390 px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Мини-калькулятор ипотеки показывал «—» для дорогих квартир без объяснения</w:t>
            </w:r>
          </w:p>
        </w:tc>
        <w:tc>
          <w:tcPr>
            <w:tcW w:type="dxa" w:w="1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Скриншот-тест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Помощь в распознавании ошибок</w:t>
            </w:r>
          </w:p>
        </w:tc>
        <w:tc>
          <w:tcPr>
            <w:tcW w:type="dxa" w:w="3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Автовыбор программы, лимит которой подходит под цену, и текст ошибки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Подсказка «от от» в фильтре этажа</w:t>
            </w:r>
          </w:p>
        </w:tc>
        <w:tc>
          <w:tcPr>
            <w:tcW w:type="dxa" w:w="1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Сквозной тест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Единообразие</w:t>
            </w:r>
          </w:p>
        </w:tc>
        <w:tc>
          <w:tcPr>
            <w:tcW w:type="dxa" w:w="3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Исправлен текст подсказки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Аудит доступности выявил два замечания, оставленных как рекомендации: белый текст на акцентных кнопках имеет контраст 3,3:1 (меньше 4,5:1 для обычного текста по WCAG AA), вторичный серый текст на фоне страницы — 4,3:1. Для исправления достаточно использовать для кнопок более тёмный оттенок акцента и затемнить вторичный текст.</w:t>
      </w: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Методика юзабилити-тестирования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Проводится модерируемое тестирование с «размышлением вслух» на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N</w:t>
      </w:r>
      <w:r>
        <w:rPr>
          <w:rFonts w:ascii="Times New Roman" w:cs="Times New Roman" w:eastAsia="Times New Roman" w:hAnsi="Times New Roman"/>
        </w:rPr>
        <w:t xml:space="preserve"> участниках (рекомендуемый минимум — 5 человек [13]) в возрасте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___</w:t>
      </w:r>
      <w:r>
        <w:rPr>
          <w:rFonts w:ascii="Times New Roman" w:cs="Times New Roman" w:eastAsia="Times New Roman" w:hAnsi="Times New Roman"/>
        </w:rPr>
        <w:t xml:space="preserve"> лет, без предварительного знакомства с сайтом. Каждый участник выполняет 6 задач (таблица 6); модератор фиксирует успешность, время, число ошибок и комментарии. После каждой задачи участник оценивает её сложность по шкале SEQ от 1 до 7, после всех задач заполняет анкету SUS [14]. Сценарии, бланк наблюдения и анкета приведены в отдельном документе «Материалы для пользовательского тестирования».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Сценарии юзабилити-тестирования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5103"/>
        <w:gridCol w:w="3799"/>
      </w:tblGrid>
      <w:tr>
        <w:trPr>
          <w:tblHeader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Задача для участника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 успеха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Найдите двухкомнатную квартиру до 15 млн ₽ не на первом этаже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Применены фильтры, открыта подходящая карточка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Узнайте ежемесячный платёж по ипотеке для этой квартиры при взносе 30 %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Названа сумма платежа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Зарегистрируйтесь и войдите в личный кабинет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из письма введён, открыт кабинет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Сравните три понравившиеся квартиры и выберите самую дешёвую за м²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Открыта страница сравнения, назван вариант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Забронируйте выбранную квартиру и проверьте статус брони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Бронь создана и найдена в разделе «Мои брони»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1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Узнайте, какая у вас скидка и сколько нужно для следующего уровня</w:t>
            </w:r>
          </w:p>
        </w:tc>
        <w:tc>
          <w:tcPr>
            <w:tcW w:type="dxa" w:w="37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Названы уровень, скидка и остаток суммы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Результаты тестирования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Раздел заполняется по итогам тестирования с участниками: результаты переносятся из бланков наблюдения в таблицы 7 и 8, затем формулируется анализ.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Успешность выполнения задач (заполняется по итогам тестирования)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1077"/>
        <w:gridCol w:w="1077"/>
        <w:gridCol w:w="1077"/>
        <w:gridCol w:w="1077"/>
        <w:gridCol w:w="1077"/>
        <w:gridCol w:w="1077"/>
        <w:gridCol w:w="1306"/>
      </w:tblGrid>
      <w:tr>
        <w:trPr>
          <w:tblHeader/>
        </w:trPr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Участник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Задача 1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Задача 2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Задача 3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Задача 4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Задача 5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Задача 6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SUS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У1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У2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У3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У4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У5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 / среднее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Обозначения: «+» — задача выполнена самостоятельно, «±» — с подсказкой или ошибками, «–» — не выполнена; в скобках указывается время выполнения в секундах.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Проблемы, выявленные участниками (заполняется по итогам тестирования)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2949"/>
        <w:gridCol w:w="1701"/>
        <w:gridCol w:w="1418"/>
        <w:gridCol w:w="2834"/>
      </w:tblGrid>
      <w:tr>
        <w:trPr>
          <w:tblHeader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Сколько участников столкнулись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Критичность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Предлагаемое решение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1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Анализ.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Средний балл SUS составил ___ (по шкале Брука результат выше 68 считается выше среднего). Самой сложной оказалась задача № ___ (средний балл SEQ ___), основная причина — ___. Задачи № ___ выполнены всеми участниками без подсказок. По результатам внесены исправления: ___.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7 Выводы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 ходе практической работы спроектирован и реализован пользовательский интерфейс веб-сайта застройщика жилья «Новый Горизонт». Все задачи, поставленные во введении, выполнены.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на основе анализа литературы (Д. Норман, С. Круг, А. Купер, Дж. Гарретт, эвристики Я. Нильсена) и стандартов (ГОСТ Р ИСО 9241-210, WCAG 2.2, ГОСТ Р 52872) сформирован набор принципов, к которым привязано каждое проектное решение;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определены три роли пользователей и их сценарии, построена информационная архитектура из публичной части, личного кабинета и рабочих мест менеджера и администратора;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разработаны каркасные макеты, дизайн-система и более 20 экранов высокодетализированного интерфейса, включая мобильную версию;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реализован работающий сайт: каталог с фильтрами и расширенной карточкой квартиры, бронирование, ипотечный калькулятор, программа лояльности, двухфакторная аутентификация по email и ролевая модель; бэкенд — Django REST Framework и PostgreSQL;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сравнительный анализ девяти инструментов показал, что для командной работы в российских условиях оптимальны Penpot и Pixso, а для проекта, где требуется работающий продукт, — каркасы и компоненты в коде;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</w:rPr>
        <w:t xml:space="preserve">предварительное тестирование выявило и позволило устранить шесть проблем интерфейса, а аудит доступности дал две рекомендации по контрасту.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По результатам юзабилити-тестирования с участниками: средний балл SUS — ___, доля успешно выполненных задач — ___ %.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Работа подтвердила основной тезис изученной литературы: удобство интерфейса достигается итеративно. Значительная часть улучшений появилась не на этапе первоначального проектирования, а после проверки на реальных данных и обратной связи. Направления развития: исправление контраста акцентных элементов, проведение A/B-тестирования формы бронирования, добавление поэтажных планов корпусов и интерактивной карты.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8 Список использованных источников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 Норман Д. Дизайн привычных вещей : пер. с англ. – М. : Манн, Иванов и Фербер, 2021. – 384 с.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 Круг С. Не заставляйте меня думать. Веб-юзабилити и здравый смысл : пер. с англ. – 3-е изд. – М. : Эксмо, 2017. – 256 с.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 Купер А., Рейман Р., Кронин Д. Алан Купер об интерфейсе. Основы проектирования взаимодействия : пер. с англ. – СПб. : Символ-Плюс, 2009. – 688 с.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 Гарретт Дж. Веб-дизайн: книга Джесса Гарретта. Элементы опыта взаимодействия : пер. с англ. – СПб. : Символ-Плюс, 2008. – 192 с.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 Nielsen J. 10 Usability Heuristics for User Interface Design // Nielsen Norman Group. – URL: https://www.nngroup.com/articles/ten-usability-heuristics/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 Вайншенк С. 100 главных принципов дизайна. Как удержать внимание : пер. с англ. – СПб. : Питер, 2012. – 272 с.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7. Лидвелл У., Холден К., Батлер Дж. Универсальные принципы дизайна : пер. с англ. – СПб. : Питер, 2012. – 272 с.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8. ГОСТ Р ИСО 9241-210-2016. Эргономика взаимодействия человек – система. Часть 210. Человекоориентированное проектирование интерактивных систем. – М. : Стандартинформ, 2016.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9. Web Content Accessibility Guidelines (WCAG) 2.2 : W3C Recommendation. – URL: https://www.w3.org/TR/WCAG22/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10. ГОСТ Р 52872-2019. Интернет-ресурсы и другая информация, представленная в электронно-цифровой форме. Приложения для стационарных и мобильных устройств, иные пользовательские интерфейсы. Требования доступности для людей с инвалидностью и других лиц с ограничениями жизнедеятельности. – М. : Стандартинформ, 2019.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11. Material Design 3. – URL: https://m3.material.io/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12. Apple Human Interface Guidelines. – URL: https://developer.apple.com/design/human-interface-guidelines/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13. Nielsen J. Why You Only Need to Test with 5 Users // Nielsen Norman Group. – URL: https://www.nngroup.com/articles/why-you-only-need-to-test-with-5-users/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14. Brooke J. SUS: A «quick and dirty» usability scale // Usability Evaluation in Industry. – London : Taylor &amp; Francis, 1996. – P. 189–194.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15. Figma : официальный сайт. – URL: https://www.figma.com/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16. Penpot vs Figma: Features, Benefits &amp; Moving to Open-Source. – URL: https://penpot.app/penpot-vs-figma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17. Pixso : официальный сайт. – URL: https://pixso.net/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18. Sketch : официальный сайт. – URL: https://www.sketch.com/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19. Axure RP : официальный сайт. – URL: https://www.axure.com/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20. Lunacy – free design software. – URL: https://icons8.com/lunacy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21. Аналоги Figma на русском: чем заменить под 4 задачи и что с доступом в России // Workspace. – URL: https://workspace.ru/blog/analogi-figma-na-russkom-chem-zamenit-pod-4-zadachi-i-chto-s-dostupom-v-rossii/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22. Adobe XD Review 2026: Maintenance Mode, Migrate to Figma Guide // ProductGrowth. – URL: https://productgrowth.in/tools/design/adobe-xd/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23. Balsamiq Wireframes : официальный сайт. – URL: https://balsamiq.com/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24. React : документация. – URL: https://react.dev/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25. Django REST framework : документация. – URL: https://www.django-rest-framework.org/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26. Playwright : документация. – URL: https://playwright.dev/ (дата обращения: 07.10.2026).</w:t>
      </w:r>
    </w:p>
    <w:p>
      <w:pPr>
        <w:spacing w:after="40" w:line="240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27. Unsplash License. – URL: https://unsplash.com/license (дата обращения: 07.10.2026).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Приложение А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</w:rPr>
        <w:t xml:space="preserve">(справочное)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Экранные формы веб-сайта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А.1 – Главная страница: блок «О застройщике»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А.2 – Главная страница: жилые комплексы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А.3 – Карточка квартиры: схема планировки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А.4 – Вход: ввод кода двухфакторной аутентификации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А.5 – Страница жилого комплекса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А.6 – Страница жилого комплекса: галерея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67350" cy="720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А.7 – Ипотечный калькулятор с графиком платежей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419725" cy="720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А.8 – Программа лояльности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А.9 – Личный кабинет клиента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А.10 – Окно бронирования квартиры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А.11 – Личный кабинет: мои брони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А.12 – Сравнение квартир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А.13 – Панель менеджера: сводка продаж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А.14 – Панель менеджера: обработка броней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А.15 – Панель администратора: пользователи и роли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54355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А.16 – Мобильная версия: главная, каталог, карточка квартиры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18669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Рисунок А.17 – Каркасный макет мобильного каталога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29" w:hanging="42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89f4c0a4bfb21fc13debcaee9cb7b1540be40f.png"/><Relationship Id="rId10" Type="http://schemas.openxmlformats.org/officeDocument/2006/relationships/image" Target="media/790d607476c93fd1304ec6c11bfbe099b9464edd.png"/><Relationship Id="rId11" Type="http://schemas.openxmlformats.org/officeDocument/2006/relationships/image" Target="media/81e0acd601df42344dc57105c59c881652331932.png"/><Relationship Id="rId12" Type="http://schemas.openxmlformats.org/officeDocument/2006/relationships/image" Target="media/8035ad1632baa7ba30ec172a184ea54a7302f9db.png"/><Relationship Id="rId13" Type="http://schemas.openxmlformats.org/officeDocument/2006/relationships/image" Target="media/d297ccc9d05c523515c69494c1bbaa260f2523d0.png"/><Relationship Id="rId14" Type="http://schemas.openxmlformats.org/officeDocument/2006/relationships/image" Target="media/409d5cbf1be9502c8e047fbe9ef94996c4e62d3b.png"/><Relationship Id="rId15" Type="http://schemas.openxmlformats.org/officeDocument/2006/relationships/image" Target="media/881a6ba48e428e675d029f44eb14c02b7ac152a7.png"/><Relationship Id="rId16" Type="http://schemas.openxmlformats.org/officeDocument/2006/relationships/image" Target="media/36aa3450c0bf4eabcb2ab5ce57bfa39bd12a2b11.png"/><Relationship Id="rId17" Type="http://schemas.openxmlformats.org/officeDocument/2006/relationships/image" Target="media/cb0cb55616b26a38cbc4da31675f1e6374527210.png"/><Relationship Id="rId18" Type="http://schemas.openxmlformats.org/officeDocument/2006/relationships/image" Target="media/d4e7e20318edefac899f888ee6eb62cae105da89.png"/><Relationship Id="rId19" Type="http://schemas.openxmlformats.org/officeDocument/2006/relationships/image" Target="media/5350a30d93a19fbd3ed25c640860cebd3f94ef8e.png"/><Relationship Id="rId20" Type="http://schemas.openxmlformats.org/officeDocument/2006/relationships/image" Target="media/580da230bf9a1f103ee7aa4769b3536d7f33f398.png"/><Relationship Id="rId21" Type="http://schemas.openxmlformats.org/officeDocument/2006/relationships/image" Target="media/69a78617bd75b162d519c258dae133acd419f31e.png"/><Relationship Id="rId22" Type="http://schemas.openxmlformats.org/officeDocument/2006/relationships/image" Target="media/60a9768cf03a46aae4e546abd7a64558ac3dbdca.png"/><Relationship Id="rId23" Type="http://schemas.openxmlformats.org/officeDocument/2006/relationships/image" Target="media/79ab7744b37687a8f57892242bfaae01c45cedfd.png"/><Relationship Id="rId24" Type="http://schemas.openxmlformats.org/officeDocument/2006/relationships/image" Target="media/dc7e56b8eda44e4000c676c12acbad15e4463cba.png"/><Relationship Id="rId25" Type="http://schemas.openxmlformats.org/officeDocument/2006/relationships/image" Target="media/edda296f49c5f0756e5f64ffd58103b14adccaa8.png"/><Relationship Id="rId26" Type="http://schemas.openxmlformats.org/officeDocument/2006/relationships/image" Target="media/3e18a90e46b572df8b21053753191641881a1ddf.png"/><Relationship Id="rId27" Type="http://schemas.openxmlformats.org/officeDocument/2006/relationships/image" Target="media/af9fb68b4aa571c52ee3ea4b2ae9185dd7771859.png"/><Relationship Id="rId28" Type="http://schemas.openxmlformats.org/officeDocument/2006/relationships/image" Target="media/0780c076b39e59aeeea41292a65d0fb7d0cb829b.png"/><Relationship Id="rId29" Type="http://schemas.openxmlformats.org/officeDocument/2006/relationships/image" Target="media/e464c1a565843eb995cd2e72fd57796eb007651a.png"/><Relationship Id="rId30" Type="http://schemas.openxmlformats.org/officeDocument/2006/relationships/image" Target="media/c1f2be3204daf15ba61dc2a5880b8cbf9427170d.png"/><Relationship Id="rId31" Type="http://schemas.openxmlformats.org/officeDocument/2006/relationships/image" Target="media/423a14304ccde0959d5355efa1008de053eb1b49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 Горизонт — отчёт</dc:creator>
  <cp:lastModifiedBy>Un-named</cp:lastModifiedBy>
  <cp:revision>1</cp:revision>
  <dcterms:created xsi:type="dcterms:W3CDTF">2026-10-07T11:57:35.950Z</dcterms:created>
  <dcterms:modified xsi:type="dcterms:W3CDTF">2026-10-07T11:57:35.951Z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