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F62"/>
          <w:sz w:val="44"/>
          <w:szCs w:val="44"/>
        </w:rPr>
        <w:t xml:space="preserve">HVAC AUTO-ESTIMATION SYSTEM</w:t>
      </w:r>
    </w:p>
    <w:p>
      <w:pPr>
        <w:spacing w:after="120"/>
        <w:jc w:val="center"/>
      </w:pPr>
      <w:r>
        <w:rPr>
          <w:b/>
          <w:bCs/>
          <w:color w:val="148673"/>
          <w:sz w:val="32"/>
          <w:szCs w:val="32"/>
        </w:rPr>
        <w:t xml:space="preserve">MASTER PLAN v2.1 — WAVE 8</w:t>
      </w:r>
    </w:p>
    <w:p>
      <w:pPr>
        <w:spacing w:after="400"/>
        <w:jc w:val="center"/>
      </w:pPr>
      <w:r>
        <w:rPr>
          <w:color w:val="CA7B2E"/>
          <w:sz w:val="23"/>
          <w:szCs w:val="23"/>
        </w:rPr>
        <w:t xml:space="preserve">FOUNDATION REPAIR · VERIFIED UPGRADES · FORWARD RUNBOOK</w:t>
      </w:r>
    </w:p>
    <w:p>
      <w:pPr>
        <w:spacing w:after="80"/>
        <w:jc w:val="center"/>
      </w:pPr>
      <w:r>
        <w:rPr>
          <w:color w:val="5B746E"/>
          <w:sz w:val="20"/>
          <w:szCs w:val="20"/>
        </w:rPr>
        <w:t xml:space="preserve">Repository: Ackerman-G4/HVAC-Auto-Est-Project | Branch: main-backup2 @ face86a + wave8 patch</w:t>
      </w:r>
    </w:p>
    <w:p>
      <w:pPr>
        <w:spacing w:after="80"/>
        <w:jc w:val="center"/>
      </w:pPr>
      <w:r>
        <w:rPr>
          <w:color w:val="5B746E"/>
          <w:sz w:val="20"/>
          <w:szCs w:val="20"/>
        </w:rPr>
        <w:t xml:space="preserve">Prepared: July 7, 2026 | Supersedes: Next-Gen Overhaul Plan v2.0 (July 2026)</w:t>
      </w:r>
    </w:p>
    <w:p>
      <w:pPr>
        <w:spacing w:after="500"/>
        <w:jc w:val="center"/>
      </w:pPr>
      <w:r>
        <w:rPr>
          <w:color w:val="5B746E"/>
          <w:sz w:val="20"/>
          <w:szCs w:val="20"/>
        </w:rPr>
        <w:t xml:space="preserve">Gate status at time of writing: tsc clean · eslint clean · 30/30 vitest · price-override smoke PASS</w:t>
      </w:r>
    </w:p>
    <w:p>
      <w:pPr>
        <w:jc w:val="center"/>
      </w:pPr>
      <w:r>
        <w:rPr>
          <w:i/>
          <w:iCs/>
          <w:color w:val="5B746E"/>
          <w:sz w:val="19"/>
          <w:szCs w:val="19"/>
        </w:rPr>
        <w:t xml:space="preserve">Every codebase claim below was verified by reading or executing the code on 2026-07-07. Design targets are labeled as such.</w:t>
      </w:r>
    </w:p>
    <w:p>
      <w:r>
        <w:br w:type="page"/>
      </w:r>
    </w:p>
    <w:p>
      <w:pPr>
        <w:spacing w:after="200"/>
      </w:pPr>
      <w:r>
        <w:rPr>
          <w:b/>
          <w:bCs/>
          <w:color w:val="1F3F62"/>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rPr>
          <w:b/>
          <w:bCs/>
          <w:color w:val="1F3F62"/>
          <w:sz w:val="30"/>
          <w:szCs w:val="30"/>
        </w:rPr>
        <w:t xml:space="preserve">1. Executive Summary</w:t>
      </w:r>
    </w:p>
    <w:p>
      <w:pPr>
        <w:spacing w:after="120"/>
      </w:pPr>
      <w:r>
        <w:rPr>
          <w:sz w:val="21"/>
          <w:szCs w:val="21"/>
        </w:rPr>
        <w:t xml:space="preserve">The July 7 push (face86a) implemented most of the v2.0 plan’s build phases — orchestration routes, cloud module, R3F viewer scaffolding, motion tokens, vitest, and the complete 11-section BOQ — but was built without the Wave 6 foundation patch. The consequence was subtle and serious: a well-engineered cloud CFD pipeline wired around a case generator whose output cannot mesh or start a solver, certified green by a test that asserted the broken file set; plus a still-live pricing bug and missing login protections.</w:t>
      </w:r>
    </w:p>
    <w:p>
      <w:pPr>
        <w:spacing w:after="120"/>
      </w:pPr>
      <w:r>
        <w:rPr>
          <w:sz w:val="21"/>
          <w:szCs w:val="21"/>
        </w:rPr>
        <w:t xml:space="preserve">Wave 8 (this patch) repairs the foundation under the new work without discarding any of it, upgrades the export test to assert the real solver contract, and adds three verified engineering upgrades: real ISO 7730 PMV/PPD comfort (cross-validated against the reference library), physically-seeded airflow particles, and reduced-motion support for WebGL content. This document records exactly what changed and why, then gives the step-by-step runbook from here to a validated Engineering tier.</w:t>
      </w:r>
    </w:p>
    <w:tbl>
      <w:tblPr>
        <w:tblW w:type="dxa" w:w="9360"/>
        <w:tblBorders>
          <w:top w:val="single" w:color="148673" w:sz="4"/>
          <w:left w:val="single" w:color="148673" w:sz="12"/>
          <w:bottom w:val="single" w:color="148673" w:sz="4"/>
          <w:right w:val="single" w:color="148673" w:sz="4"/>
          <w:insideH w:val="single" w:color="auto" w:sz="4"/>
          <w:insideV w:val="single" w:color="auto" w:sz="4"/>
        </w:tblBorders>
      </w:tblPr>
      <w:tblGrid>
        <w:gridCol w:w="9360"/>
      </w:tblGrid>
      <w:tr>
        <w:tc>
          <w:tcPr>
            <w:tcW w:type="dxa" w:w="9360"/>
            <w:shd w:fill="FCFDF9" w:val="clear"/>
            <w:tcMar>
              <w:top w:type="dxa" w:w="120"/>
              <w:left w:type="dxa" w:w="160"/>
              <w:bottom w:type="dxa" w:w="120"/>
              <w:right w:type="dxa" w:w="160"/>
            </w:tcMar>
          </w:tcPr>
          <w:p>
            <w:pPr>
              <w:spacing w:after="60"/>
            </w:pPr>
            <w:r>
              <w:rPr>
                <w:b/>
                <w:bCs/>
                <w:color w:val="148673"/>
                <w:sz w:val="21"/>
                <w:szCs w:val="21"/>
              </w:rPr>
              <w:t xml:space="preserve">The one-sentence lesson Wave 8 encodes</w:t>
            </w:r>
          </w:p>
          <w:p>
            <w:r>
              <w:rPr>
                <w:sz w:val="20"/>
                <w:szCs w:val="20"/>
              </w:rPr>
              <w:t xml:space="preserve">Never build a new layer on an unapplied patch: green gates on the wrong contract are worse than red gates, because they certify work that cannot run. Section 8 turns that lesson into process (CI + integration order), not just a memory.</w:t>
            </w:r>
          </w:p>
        </w:tc>
      </w:tr>
    </w:tbl>
    <w:p>
      <w:pPr>
        <w:pStyle w:val="Heading1"/>
        <w:spacing w:after="160" w:before="340"/>
      </w:pPr>
      <w:r>
        <w:rPr>
          <w:b/>
          <w:bCs/>
          <w:color w:val="1F3F62"/>
          <w:sz w:val="30"/>
          <w:szCs w:val="30"/>
        </w:rPr>
        <w:t xml:space="preserve">2. What the face86a Push Delivered (verified, with credit)</w:t>
      </w:r>
    </w:p>
    <w:tbl>
      <w:tblPr>
        <w:tblW w:type="dxa" w:w="9360"/>
        <w:tblBorders>
          <w:top w:val="single" w:color="CAD5CC" w:sz="4"/>
          <w:left w:val="single" w:color="CAD5CC" w:sz="4"/>
          <w:bottom w:val="single" w:color="CAD5CC" w:sz="4"/>
          <w:right w:val="single" w:color="CAD5CC" w:sz="4"/>
          <w:insideH w:val="single" w:color="CAD5CC" w:sz="4"/>
          <w:insideV w:val="single" w:color="CAD5CC" w:sz="4"/>
        </w:tblBorders>
      </w:tblPr>
      <w:tblGrid>
        <w:gridCol w:w="4600"/>
        <w:gridCol w:w="4760"/>
      </w:tblGrid>
      <w:tr>
        <w:trPr>
          <w:tblHeader/>
        </w:trPr>
        <w:tc>
          <w:tcPr>
            <w:tcW w:type="dxa" w:w="4600"/>
            <w:shd w:fill="1F3F62" w:val="clear"/>
            <w:tcMar>
              <w:top w:type="dxa" w:w="60"/>
              <w:left w:type="dxa" w:w="100"/>
              <w:bottom w:type="dxa" w:w="60"/>
              <w:right w:type="dxa" w:w="100"/>
            </w:tcMar>
          </w:tcPr>
          <w:p>
            <w:r>
              <w:rPr>
                <w:b/>
                <w:bCs/>
                <w:color w:val="FFFFFF"/>
                <w:sz w:val="19"/>
                <w:szCs w:val="19"/>
              </w:rPr>
              <w:t xml:space="preserve">Component</w:t>
            </w:r>
          </w:p>
        </w:tc>
        <w:tc>
          <w:tcPr>
            <w:tcW w:type="dxa" w:w="4760"/>
            <w:shd w:fill="1F3F62" w:val="clear"/>
            <w:tcMar>
              <w:top w:type="dxa" w:w="60"/>
              <w:left w:type="dxa" w:w="100"/>
              <w:bottom w:type="dxa" w:w="60"/>
              <w:right w:type="dxa" w:w="100"/>
            </w:tcMar>
          </w:tcPr>
          <w:p>
            <w:r>
              <w:rPr>
                <w:b/>
                <w:bCs/>
                <w:color w:val="FFFFFF"/>
                <w:sz w:val="19"/>
                <w:szCs w:val="19"/>
              </w:rPr>
              <w:t xml:space="preserve">Verdict</w:t>
            </w:r>
          </w:p>
        </w:tc>
      </w:tr>
      <w:tr>
        <w:tc>
          <w:tcPr>
            <w:tcW w:type="dxa" w:w="4600"/>
            <w:tcMar>
              <w:top w:type="dxa" w:w="50"/>
              <w:left w:type="dxa" w:w="100"/>
              <w:bottom w:type="dxa" w:w="50"/>
              <w:right w:type="dxa" w:w="100"/>
            </w:tcMar>
          </w:tcPr>
          <w:p>
            <w:r>
              <w:rPr>
                <w:sz w:val="19"/>
                <w:szCs w:val="19"/>
              </w:rPr>
              <w:t xml:space="preserve">openfoam-callback route</w:t>
            </w:r>
          </w:p>
        </w:tc>
        <w:tc>
          <w:tcPr>
            <w:tcW w:type="dxa" w:w="4760"/>
            <w:tcMar>
              <w:top w:type="dxa" w:w="50"/>
              <w:left w:type="dxa" w:w="100"/>
              <w:bottom w:type="dxa" w:w="50"/>
              <w:right w:type="dxa" w:w="100"/>
            </w:tcMar>
          </w:tcPr>
          <w:p>
            <w:r>
              <w:rPr>
                <w:sz w:val="19"/>
                <w:szCs w:val="19"/>
              </w:rPr>
              <w:t xml:space="preserve">Well-built: timing-safe secret compare, rate-limited, idempotent on terminal runs, failure path persists errorMessage + logTail</w:t>
            </w:r>
          </w:p>
        </w:tc>
      </w:tr>
      <w:tr>
        <w:tc>
          <w:tcPr>
            <w:tcW w:type="dxa" w:w="4600"/>
            <w:shd w:fill="F1F3ED" w:val="clear"/>
            <w:tcMar>
              <w:top w:type="dxa" w:w="50"/>
              <w:left w:type="dxa" w:w="100"/>
              <w:bottom w:type="dxa" w:w="50"/>
              <w:right w:type="dxa" w:w="100"/>
            </w:tcMar>
          </w:tcPr>
          <w:p>
            <w:r>
              <w:rPr>
                <w:sz w:val="19"/>
                <w:szCs w:val="19"/>
              </w:rPr>
              <w:t xml:space="preserve">cfd-cloud.ts (GCS upload + Cloud Run Jobs trigger)</w:t>
            </w:r>
          </w:p>
        </w:tc>
        <w:tc>
          <w:tcPr>
            <w:tcW w:type="dxa" w:w="4760"/>
            <w:shd w:fill="F1F3ED" w:val="clear"/>
            <w:tcMar>
              <w:top w:type="dxa" w:w="50"/>
              <w:left w:type="dxa" w:w="100"/>
              <w:bottom w:type="dxa" w:w="50"/>
              <w:right w:type="dxa" w:w="100"/>
            </w:tcMar>
          </w:tcPr>
          <w:p>
            <w:r>
              <w:rPr>
                <w:sz w:val="19"/>
                <w:szCs w:val="19"/>
              </w:rPr>
              <w:t xml:space="preserve">Well-built: env-guarded with clean 503 when unprovisioned, reuses firebase-admin credentials, correct Jobs v2 :run API with per-run env overrides</w:t>
            </w:r>
          </w:p>
        </w:tc>
      </w:tr>
      <w:tr>
        <w:tc>
          <w:tcPr>
            <w:tcW w:type="dxa" w:w="4600"/>
            <w:tcMar>
              <w:top w:type="dxa" w:w="50"/>
              <w:left w:type="dxa" w:w="100"/>
              <w:bottom w:type="dxa" w:w="50"/>
              <w:right w:type="dxa" w:w="100"/>
            </w:tcMar>
          </w:tcPr>
          <w:p>
            <w:r>
              <w:rPr>
                <w:sz w:val="19"/>
                <w:szCs w:val="19"/>
              </w:rPr>
              <w:t xml:space="preserve">POST .../runs orchestration</w:t>
            </w:r>
          </w:p>
        </w:tc>
        <w:tc>
          <w:tcPr>
            <w:tcW w:type="dxa" w:w="4760"/>
            <w:tcMar>
              <w:top w:type="dxa" w:w="50"/>
              <w:left w:type="dxa" w:w="100"/>
              <w:bottom w:type="dxa" w:w="50"/>
              <w:right w:type="dxa" w:w="100"/>
            </w:tcMar>
          </w:tcPr>
          <w:p>
            <w:r>
              <w:rPr>
                <w:sz w:val="19"/>
                <w:szCs w:val="19"/>
              </w:rPr>
              <w:t xml:space="preserve">Well-built: auth + ownership, 6/min rate cap, tier gating, mesh fallback, synchronous export before any job is created</w:t>
            </w:r>
          </w:p>
        </w:tc>
      </w:tr>
      <w:tr>
        <w:tc>
          <w:tcPr>
            <w:tcW w:type="dxa" w:w="4600"/>
            <w:shd w:fill="F1F3ED" w:val="clear"/>
            <w:tcMar>
              <w:top w:type="dxa" w:w="50"/>
              <w:left w:type="dxa" w:w="100"/>
              <w:bottom w:type="dxa" w:w="50"/>
              <w:right w:type="dxa" w:w="100"/>
            </w:tcMar>
          </w:tcPr>
          <w:p>
            <w:r>
              <w:rPr>
                <w:sz w:val="19"/>
                <w:szCs w:val="19"/>
              </w:rPr>
              <w:t xml:space="preserve">run_solve.py evolution</w:t>
            </w:r>
          </w:p>
        </w:tc>
        <w:tc>
          <w:tcPr>
            <w:tcW w:type="dxa" w:w="4760"/>
            <w:shd w:fill="F1F3ED" w:val="clear"/>
            <w:tcMar>
              <w:top w:type="dxa" w:w="50"/>
              <w:left w:type="dxa" w:w="100"/>
              <w:bottom w:type="dxa" w:w="50"/>
              <w:right w:type="dxa" w:w="100"/>
            </w:tcMar>
          </w:tcPr>
          <w:p>
            <w:r>
              <w:rPr>
                <w:sz w:val="19"/>
                <w:szCs w:val="19"/>
              </w:rPr>
              <w:t xml:space="preserve">Good: gs:// and local IO, lazy GCS import, fluidfoam mesh-shape assertion before trusting fields, non-fatal checkMesh</w:t>
            </w:r>
          </w:p>
        </w:tc>
      </w:tr>
      <w:tr>
        <w:tc>
          <w:tcPr>
            <w:tcW w:type="dxa" w:w="4600"/>
            <w:tcMar>
              <w:top w:type="dxa" w:w="50"/>
              <w:left w:type="dxa" w:w="100"/>
              <w:bottom w:type="dxa" w:w="50"/>
              <w:right w:type="dxa" w:w="100"/>
            </w:tcMar>
          </w:tcPr>
          <w:p>
            <w:r>
              <w:rPr>
                <w:sz w:val="19"/>
                <w:szCs w:val="19"/>
              </w:rPr>
              <w:t xml:space="preserve">R3F scaffolding (SimulationCanvas, BuildingShell, TemperatureVolume, VelocityGlyphs, viewer-model)</w:t>
            </w:r>
          </w:p>
        </w:tc>
        <w:tc>
          <w:tcPr>
            <w:tcW w:type="dxa" w:w="4760"/>
            <w:tcMar>
              <w:top w:type="dxa" w:w="50"/>
              <w:left w:type="dxa" w:w="100"/>
              <w:bottom w:type="dxa" w:w="50"/>
              <w:right w:type="dxa" w:w="100"/>
            </w:tcMar>
          </w:tcPr>
          <w:p>
            <w:r>
              <w:rPr>
                <w:sz w:val="19"/>
                <w:szCs w:val="19"/>
              </w:rPr>
              <w:t xml:space="preserve">Clean: TemperatureVolume is an honest instanced-voxel placeholder with raymarch-stable props</w:t>
            </w:r>
          </w:p>
        </w:tc>
      </w:tr>
      <w:tr>
        <w:tc>
          <w:tcPr>
            <w:tcW w:type="dxa" w:w="4600"/>
            <w:shd w:fill="F1F3ED" w:val="clear"/>
            <w:tcMar>
              <w:top w:type="dxa" w:w="50"/>
              <w:left w:type="dxa" w:w="100"/>
              <w:bottom w:type="dxa" w:w="50"/>
              <w:right w:type="dxa" w:w="100"/>
            </w:tcMar>
          </w:tcPr>
          <w:p>
            <w:r>
              <w:rPr>
                <w:sz w:val="19"/>
                <w:szCs w:val="19"/>
              </w:rPr>
              <w:t xml:space="preserve">11-section BOQ (A–K)</w:t>
            </w:r>
          </w:p>
        </w:tc>
        <w:tc>
          <w:tcPr>
            <w:tcW w:type="dxa" w:w="4760"/>
            <w:shd w:fill="F1F3ED" w:val="clear"/>
            <w:tcMar>
              <w:top w:type="dxa" w:w="50"/>
              <w:left w:type="dxa" w:w="100"/>
              <w:bottom w:type="dxa" w:w="50"/>
              <w:right w:type="dxa" w:w="100"/>
            </w:tcMar>
          </w:tcPr>
          <w:p>
            <w:r>
              <w:rPr>
                <w:sz w:val="19"/>
                <w:szCs w:val="19"/>
              </w:rPr>
              <w:t xml:space="preserve">COMPLETE: cost-engine now emits all sections; smoke test asserts E-Diffusers and G-Controls (thermostat + CO₂ + BMS) line items and total reconciliation</w:t>
            </w:r>
          </w:p>
        </w:tc>
      </w:tr>
      <w:tr>
        <w:tc>
          <w:tcPr>
            <w:tcW w:type="dxa" w:w="4600"/>
            <w:tcMar>
              <w:top w:type="dxa" w:w="50"/>
              <w:left w:type="dxa" w:w="100"/>
              <w:bottom w:type="dxa" w:w="50"/>
              <w:right w:type="dxa" w:w="100"/>
            </w:tcMar>
          </w:tcPr>
          <w:p>
            <w:r>
              <w:rPr>
                <w:sz w:val="19"/>
                <w:szCs w:val="19"/>
              </w:rPr>
              <w:t xml:space="preserve">motion.ts tokens, LoadBreakdownBar, vitest config, validation-log scaffold, .env.example</w:t>
            </w:r>
          </w:p>
        </w:tc>
        <w:tc>
          <w:tcPr>
            <w:tcW w:type="dxa" w:w="4760"/>
            <w:tcMar>
              <w:top w:type="dxa" w:w="50"/>
              <w:left w:type="dxa" w:w="100"/>
              <w:bottom w:type="dxa" w:w="50"/>
              <w:right w:type="dxa" w:w="100"/>
            </w:tcMar>
          </w:tcPr>
          <w:p>
            <w:r>
              <w:rPr>
                <w:sz w:val="19"/>
                <w:szCs w:val="19"/>
              </w:rPr>
              <w:t xml:space="preserve">All present; validation log honestly empty (no pre-claimed results)</w:t>
            </w:r>
          </w:p>
        </w:tc>
      </w:tr>
    </w:tbl>
    <w:p>
      <w:pPr>
        <w:pStyle w:val="Heading1"/>
        <w:spacing w:after="160" w:before="340"/>
      </w:pPr>
      <w:r>
        <w:rPr>
          <w:b/>
          <w:bCs/>
          <w:color w:val="1F3F62"/>
          <w:sz w:val="30"/>
          <w:szCs w:val="30"/>
        </w:rPr>
        <w:t xml:space="preserve">3. The Foundation Gap — Failure Chain (now closed)</w:t>
      </w:r>
    </w:p>
    <w:p>
      <w:pPr>
        <w:pStyle w:val="ListParagraph"/>
        <w:numPr>
          <w:ilvl w:val="0"/>
          <w:numId w:val="2"/>
        </w:numPr>
        <w:spacing w:after="80"/>
      </w:pPr>
      <w:r>
        <w:rPr>
          <w:sz w:val="21"/>
          <w:szCs w:val="21"/>
        </w:rPr>
        <w:t xml:space="preserve">openfoam-exporter.ts lacked Wave 6: blockMeshDict had an EMPTY boundary list (cannot mesh); no topoSetDict/createPatchDict (named patches never created); transportProperties emitted for buoyantSimpleFoam, which reads thermophysicalProperties; no constant/g, 0/p_rgh, 0/alphat (solver exits at startup).</w:t>
      </w:r>
    </w:p>
    <w:p>
      <w:pPr>
        <w:pStyle w:val="ListParagraph"/>
        <w:numPr>
          <w:ilvl w:val="0"/>
          <w:numId w:val="2"/>
        </w:numPr>
        <w:spacing w:after="80"/>
      </w:pPr>
      <w:r>
        <w:rPr>
          <w:sz w:val="21"/>
          <w:szCs w:val="21"/>
        </w:rPr>
        <w:t xml:space="preserve">run_solve.py made topoSet/createPatch conditional on dict presence — sensible in isolation, but against the unfixed exporter it silently skipped the missing steps instead of failing loudly, pushing the error to solver startup with a confusing message.</w:t>
      </w:r>
    </w:p>
    <w:p>
      <w:pPr>
        <w:pStyle w:val="ListParagraph"/>
        <w:numPr>
          <w:ilvl w:val="0"/>
          <w:numId w:val="2"/>
        </w:numPr>
        <w:spacing w:after="80"/>
      </w:pPr>
      <w:r>
        <w:rPr>
          <w:sz w:val="21"/>
          <w:szCs w:val="21"/>
        </w:rPr>
        <w:t xml:space="preserve">The export smoke test asserted the pre-fix file set (transportProperties required, none of the buoyant files, no boundary check) — 6 green tests certifying unrunnable cases.</w:t>
      </w:r>
    </w:p>
    <w:p>
      <w:pPr>
        <w:pStyle w:val="ListParagraph"/>
        <w:numPr>
          <w:ilvl w:val="0"/>
          <w:numId w:val="2"/>
        </w:numPr>
        <w:spacing w:after="80"/>
      </w:pPr>
      <w:r>
        <w:rPr>
          <w:sz w:val="21"/>
          <w:szCs w:val="21"/>
        </w:rPr>
        <w:t xml:space="preserve">Pricing: admin overrides still invisible to sizing/quotes; manual selection still trusted client-supplied unitPrice for real catalog SKUs (BOQ-hash-verified wrong totals possible).</w:t>
      </w:r>
    </w:p>
    <w:p>
      <w:pPr>
        <w:pStyle w:val="ListParagraph"/>
        <w:numPr>
          <w:ilvl w:val="0"/>
          <w:numId w:val="2"/>
        </w:numPr>
        <w:spacing w:after="80"/>
      </w:pPr>
      <w:r>
        <w:rPr>
          <w:sz w:val="21"/>
          <w:szCs w:val="21"/>
        </w:rPr>
        <w:t xml:space="preserve">Security: per-email lockout only (no IP scope); listLoginEvents fetched the whole collection and sorted in memory.</w:t>
      </w:r>
    </w:p>
    <w:p>
      <w:pPr>
        <w:pStyle w:val="Heading1"/>
        <w:spacing w:after="160" w:before="340"/>
      </w:pPr>
      <w:r>
        <w:rPr>
          <w:b/>
          <w:bCs/>
          <w:color w:val="1F3F62"/>
          <w:sz w:val="30"/>
          <w:szCs w:val="30"/>
        </w:rPr>
        <w:t xml:space="preserve">4. Wave 8 — Changes in This Patch (each item verified)</w:t>
      </w:r>
    </w:p>
    <w:p>
      <w:pPr>
        <w:pStyle w:val="Heading2"/>
        <w:spacing w:after="120" w:before="260"/>
      </w:pPr>
      <w:r>
        <w:rPr>
          <w:b/>
          <w:bCs/>
          <w:color w:val="148673"/>
          <w:sz w:val="25"/>
          <w:szCs w:val="25"/>
        </w:rPr>
        <w:t xml:space="preserve">4.1 Foundation re-applied (Wave 6, every hunk clean)</w:t>
      </w:r>
    </w:p>
    <w:p>
      <w:pPr>
        <w:spacing w:after="120"/>
      </w:pPr>
      <w:r>
        <w:rPr>
          <w:sz w:val="21"/>
          <w:szCs w:val="21"/>
        </w:rPr>
        <w:t xml:space="preserve">Exporter (boundary faces, topoSet/createPatch carving, g, thermophysicalProperties, p_rgh, alphat, sanitized patch names); pricing pass-through into equipment-sizing + server-resolved prices for catalog SKUs; IP-scoped lockout beside email lockout; indexed loginEvents query + composite index; smoke-price-override registered as validate:price-override. Their evolved services/cfd-solver files were kept (mine excluded from the apply) — after the exporter fix, their conditional mesh pipeline now finds the dicts and runs the full blockMesh → topoSet → createPatch sequence.</w:t>
      </w:r>
    </w:p>
    <w:p>
      <w:pPr>
        <w:pStyle w:val="Heading2"/>
        <w:spacing w:after="120" w:before="260"/>
      </w:pPr>
      <w:r>
        <w:rPr>
          <w:b/>
          <w:bCs/>
          <w:color w:val="148673"/>
          <w:sz w:val="25"/>
          <w:szCs w:val="25"/>
        </w:rPr>
        <w:t xml:space="preserve">4.2 Export test upgraded to the real contract (15 tests)</w:t>
      </w:r>
    </w:p>
    <w:p>
      <w:pPr>
        <w:pStyle w:val="ListParagraph"/>
        <w:numPr>
          <w:ilvl w:val="0"/>
          <w:numId w:val="2"/>
        </w:numPr>
        <w:spacing w:after="80"/>
      </w:pPr>
      <w:r>
        <w:rPr>
          <w:sz w:val="21"/>
          <w:szCs w:val="21"/>
        </w:rPr>
        <w:t xml:space="preserve">Per-solver required-file set: buoyant → thermophysicalProperties + g + p_rgh + alphat and NO transportProperties (its presence now fails the suite); simpleFoam → transportProperties.</w:t>
      </w:r>
    </w:p>
    <w:p>
      <w:pPr>
        <w:pStyle w:val="ListParagraph"/>
        <w:numPr>
          <w:ilvl w:val="0"/>
          <w:numId w:val="2"/>
        </w:numPr>
        <w:spacing w:after="80"/>
      </w:pPr>
      <w:r>
        <w:rPr>
          <w:sz w:val="21"/>
          <w:szCs w:val="21"/>
        </w:rPr>
        <w:t xml:space="preserve">blockMesh must declare all six box_* boundary faces (empty boundary list fails).</w:t>
      </w:r>
    </w:p>
    <w:p>
      <w:pPr>
        <w:pStyle w:val="ListParagraph"/>
        <w:numPr>
          <w:ilvl w:val="0"/>
          <w:numId w:val="2"/>
        </w:numPr>
        <w:spacing w:after="80"/>
      </w:pPr>
      <w:r>
        <w:rPr>
          <w:sz w:val="21"/>
          <w:szCs w:val="21"/>
        </w:rPr>
        <w:t xml:space="preserve">Every mesh patch with faces must be carved via a &lt;name&gt;_faces faceSet in topoSetDict and appear in createPatchDict (charset mirrors the exporter’s sanitizer exactly — hyphens survive).</w:t>
      </w:r>
    </w:p>
    <w:p>
      <w:pPr>
        <w:pStyle w:val="ListParagraph"/>
        <w:numPr>
          <w:ilvl w:val="0"/>
          <w:numId w:val="2"/>
        </w:numPr>
        <w:spacing w:after="80"/>
      </w:pPr>
      <w:r>
        <w:rPr>
          <w:sz w:val="21"/>
          <w:szCs w:val="21"/>
        </w:rPr>
        <w:t xml:space="preserve">Gravity must be (0 0 -9.81): z is the vertical axis in this codebase’s grid; a wrong axis silently inverts buoyancy.</w:t>
      </w:r>
    </w:p>
    <w:p>
      <w:pPr>
        <w:pStyle w:val="Heading2"/>
        <w:spacing w:after="120" w:before="260"/>
      </w:pPr>
      <w:r>
        <w:rPr>
          <w:b/>
          <w:bCs/>
          <w:color w:val="148673"/>
          <w:sz w:val="25"/>
          <w:szCs w:val="25"/>
        </w:rPr>
        <w:t xml:space="preserve">4.3 Ordering invariant documented in the exporter</w:t>
      </w:r>
    </w:p>
    <w:p>
      <w:pPr>
        <w:spacing w:after="120"/>
      </w:pPr>
      <w:r>
        <w:rPr>
          <w:sz w:val="21"/>
          <w:szCs w:val="21"/>
        </w:rPr>
        <w:t xml:space="preserve">Wall patches and vent patches overlap on shared box faces (a supply grille sits ON a wall, and the wall’s bounding box covers it). createPatch assigns a doubly-claimed face to the LAST dict entry listing it, so correctness requires specific patches AFTER generic ones. geometry-builder already emits walls/floor/ceiling first and hvac vents last; the exporter now documents “do not sort or reorder this loop” at the exact spot a future refactor would break it.</w:t>
      </w:r>
    </w:p>
    <w:p>
      <w:pPr>
        <w:pStyle w:val="Heading2"/>
        <w:spacing w:after="120" w:before="260"/>
      </w:pPr>
      <w:r>
        <w:rPr>
          <w:b/>
          <w:bCs/>
          <w:color w:val="148673"/>
          <w:sz w:val="25"/>
          <w:szCs w:val="25"/>
        </w:rPr>
        <w:t xml:space="preserve">4.4 Real ISO 7730 PMV/PPD (replaces (T−24)×0.35)</w:t>
      </w:r>
    </w:p>
    <w:p>
      <w:pPr>
        <w:spacing w:after="120"/>
      </w:pPr>
      <w:r>
        <w:rPr>
          <w:sz w:val="21"/>
          <w:szCs w:val="21"/>
        </w:rPr>
        <w:t xml:space="preserve">Full Fanger implementation (iterative clothing-surface solve, all six heat-loss terms) in src/lib/engine/comfort/pmv.ts, cross-validated in vitest against pythermalcomfort 4.0.2 (pmv_ppd_iso, model 7730-2005, unclamped) on an 8-point grid spanning 20–30 °C, 0.05–0.3 m/s, 40–75 %RH, 1.0–1.4 met, 0.36–1.0 clo, including one asymmetric-radiant case. Tolerance: ±0.02 PMV, ±0.6 PPD — all pass. Wired into building-cfd-simulation using its own avgTemperature, avgVelocity (capped at 1 m/s, the ISO applicability ceiling — supply-jet speeds where nobody sits shouldn’t drive comfort), and ambient humidity ratio converted to RH. Defaults documented: 1.1 met, 0.5 clo (typical PH office attire). Field names pmvApprox/ppdApprox kept to avoid a type ripple; semantics now real. Scale of the old error: at 30 °C/70 %RH the placeholder said PMV 2.10 / PPD 72; reality is 1.61 / 57 — and the placeholder was blind to airflow entirely.</w:t>
      </w:r>
    </w:p>
    <w:p>
      <w:pPr>
        <w:pStyle w:val="Heading2"/>
        <w:spacing w:after="120" w:before="260"/>
      </w:pPr>
      <w:r>
        <w:rPr>
          <w:b/>
          <w:bCs/>
          <w:color w:val="148673"/>
          <w:sz w:val="25"/>
          <w:szCs w:val="25"/>
        </w:rPr>
        <w:t xml:space="preserve">4.5 Jet-seeded airflow particles</w:t>
      </w:r>
    </w:p>
    <w:p>
      <w:pPr>
        <w:spacing w:after="120"/>
      </w:pPr>
      <w:r>
        <w:rPr>
          <w:sz w:val="21"/>
          <w:szCs w:val="21"/>
        </w:rPr>
        <w:t xml:space="preserve">New pure module jet-seeding.ts (5 unit tests, synthetic-field verified): supply jets are found as the coherent high-|U| cells of the solved velocity field, so particles now emit where conditioned air actually leaves the diffusers — for initial seeding AND respawn — with speed-weighted sampling and sub-cell jitter. Degenerate/still fields return empty and the component falls back to exactly the old uniform behavior. One self-correction recorded: the suspected “lives never reset on respawn” bug was re-inspected and is NOT a bug (lives[i] = 0 is present); no change was made there.</w:t>
      </w:r>
    </w:p>
    <w:p>
      <w:pPr>
        <w:pStyle w:val="Heading2"/>
        <w:spacing w:after="120" w:before="260"/>
      </w:pPr>
      <w:r>
        <w:rPr>
          <w:b/>
          <w:bCs/>
          <w:color w:val="148673"/>
          <w:sz w:val="25"/>
          <w:szCs w:val="25"/>
        </w:rPr>
        <w:t xml:space="preserve">4.6 Reduced-motion reaches WebGL</w:t>
      </w:r>
    </w:p>
    <w:p>
      <w:pPr>
        <w:spacing w:after="120"/>
      </w:pPr>
      <w:r>
        <w:rPr>
          <w:sz w:val="21"/>
          <w:szCs w:val="21"/>
        </w:rPr>
        <w:t xml:space="preserve">usePrefersReducedMotion in the shared motion module via useSyncExternalStore (SSR-safe, lint-clean, live-updating). AirflowParticles pauses advection under it — particles remain visible at their last positions: information kept, animation removed. framer-motion’s own hook never reaches canvas content, which is why this exists.</w:t>
      </w:r>
    </w:p>
    <w:p>
      <w:pPr>
        <w:pStyle w:val="Heading2"/>
        <w:spacing w:after="120" w:before="260"/>
      </w:pPr>
      <w:r>
        <w:rPr>
          <w:b/>
          <w:bCs/>
          <w:color w:val="148673"/>
          <w:sz w:val="25"/>
          <w:szCs w:val="25"/>
        </w:rPr>
        <w:t xml:space="preserve">4.7 Hygiene</w:t>
      </w:r>
    </w:p>
    <w:p>
      <w:pPr>
        <w:pStyle w:val="ListParagraph"/>
        <w:numPr>
          <w:ilvl w:val="0"/>
          <w:numId w:val="2"/>
        </w:numPr>
        <w:spacing w:after="80"/>
      </w:pPr>
      <w:r>
        <w:rPr>
          <w:sz w:val="21"/>
          <w:szCs w:val="21"/>
        </w:rPr>
        <w:t xml:space="preserve">Removed the committed services/cfd-solver/__pycache__/*.pyc; added __pycache__/ and *.pyc to .gitignore.</w:t>
      </w:r>
    </w:p>
    <w:p>
      <w:pPr>
        <w:pStyle w:val="ListParagraph"/>
        <w:numPr>
          <w:ilvl w:val="0"/>
          <w:numId w:val="2"/>
        </w:numPr>
        <w:spacing w:after="80"/>
      </w:pPr>
      <w:r>
        <w:rPr>
          <w:sz w:val="21"/>
          <w:szCs w:val="21"/>
        </w:rPr>
        <w:t xml:space="preserve">package-lock churn from environment npm-version differences reverted — the patch touches only intentional files.</w:t>
      </w:r>
    </w:p>
    <w:p>
      <w:pPr>
        <w:pStyle w:val="Heading1"/>
        <w:spacing w:after="160" w:before="340"/>
      </w:pPr>
      <w:r>
        <w:rPr>
          <w:b/>
          <w:bCs/>
          <w:color w:val="1F3F62"/>
          <w:sz w:val="30"/>
          <w:szCs w:val="30"/>
        </w:rPr>
        <w:t xml:space="preserve">5. Runbook — Land Wave 8 (do this first, ~30 min)</w:t>
      </w:r>
    </w:p>
    <w:tbl>
      <w:tblPr>
        <w:tblW w:type="dxa" w:w="9360"/>
        <w:tblBorders>
          <w:top w:val="single" w:color="CAD5CC" w:sz="4"/>
          <w:left w:val="single" w:color="CAD5CC" w:sz="4"/>
          <w:bottom w:val="single" w:color="CAD5CC" w:sz="4"/>
          <w:right w:val="single" w:color="CAD5CC" w:sz="4"/>
          <w:insideH w:val="single" w:color="auto" w:sz="4"/>
          <w:insideV w:val="single" w:color="auto" w:sz="4"/>
        </w:tblBorders>
      </w:tblPr>
      <w:tblGrid>
        <w:gridCol w:w="9360"/>
      </w:tblGrid>
      <w:tr>
        <w:tc>
          <w:tcPr>
            <w:tcW w:type="dxa" w:w="9360"/>
            <w:shd w:fill="121918" w:val="clear"/>
            <w:tcMar>
              <w:top w:type="dxa" w:w="100"/>
              <w:left w:type="dxa" w:w="140"/>
              <w:bottom w:type="dxa" w:w="100"/>
              <w:right w:type="dxa" w:w="140"/>
            </w:tcMar>
          </w:tcPr>
          <w:p>
            <w:pPr>
              <w:spacing w:after="20"/>
            </w:pPr>
            <w:r>
              <w:rPr>
                <w:rFonts w:ascii="Consolas" w:cs="Consolas" w:eastAsia="Consolas" w:hAnsi="Consolas"/>
                <w:color w:val="E8EFEA"/>
                <w:sz w:val="18"/>
                <w:szCs w:val="18"/>
              </w:rPr>
              <w:t xml:space="preserve">git apply wave8-foundation-and-upgrades.patch</w:t>
            </w:r>
          </w:p>
          <w:p>
            <w:pPr>
              <w:spacing w:after="20"/>
            </w:pPr>
            <w:r>
              <w:rPr>
                <w:rFonts w:ascii="Consolas" w:cs="Consolas" w:eastAsia="Consolas" w:hAnsi="Consolas"/>
                <w:color w:val="E8EFEA"/>
                <w:sz w:val="18"/>
                <w:szCs w:val="18"/>
              </w:rPr>
              <w:t xml:space="preserve">npm install</w:t>
            </w:r>
          </w:p>
          <w:p>
            <w:pPr>
              <w:spacing w:after="20"/>
            </w:pPr>
            <w:r>
              <w:rPr>
                <w:rFonts w:ascii="Consolas" w:cs="Consolas" w:eastAsia="Consolas" w:hAnsi="Consolas"/>
                <w:color w:val="E8EFEA"/>
                <w:sz w:val="18"/>
                <w:szCs w:val="18"/>
              </w:rPr>
              <w:t xml:space="preserve">npx tsc --noEmit &amp;&amp; npx eslint src</w:t>
            </w:r>
          </w:p>
          <w:p>
            <w:pPr>
              <w:spacing w:after="20"/>
            </w:pPr>
            <w:r>
              <w:rPr>
                <w:rFonts w:ascii="Consolas" w:cs="Consolas" w:eastAsia="Consolas" w:hAnsi="Consolas"/>
                <w:color w:val="E8EFEA"/>
                <w:sz w:val="18"/>
                <w:szCs w:val="18"/>
              </w:rPr>
              <w:t xml:space="preserve">npx vitest run                      # expect 30/30</w:t>
            </w:r>
          </w:p>
          <w:p>
            <w:pPr>
              <w:spacing w:after="20"/>
            </w:pPr>
            <w:r>
              <w:rPr>
                <w:rFonts w:ascii="Consolas" w:cs="Consolas" w:eastAsia="Consolas" w:hAnsi="Consolas"/>
                <w:color w:val="E8EFEA"/>
                <w:sz w:val="18"/>
                <w:szCs w:val="18"/>
              </w:rPr>
              <w:t xml:space="preserve">npm run validate:price-override     # expect PASS</w:t>
            </w:r>
          </w:p>
          <w:p>
            <w:pPr>
              <w:spacing w:after="20"/>
            </w:pPr>
            <w:r>
              <w:rPr>
                <w:rFonts w:ascii="Consolas" w:cs="Consolas" w:eastAsia="Consolas" w:hAnsi="Consolas"/>
                <w:color w:val="E8EFEA"/>
                <w:sz w:val="18"/>
                <w:szCs w:val="18"/>
              </w:rPr>
              <w:t xml:space="preserve">git add -A &amp;&amp; git commit -m "Wave 8: foundation repair + PMV/seeding/reduced-motion" &amp;&amp; git push</w:t>
            </w:r>
          </w:p>
          <w:p>
            <w:pPr>
              <w:spacing w:after="20"/>
            </w:pPr>
            <w:r>
              <w:rPr>
                <w:rFonts w:ascii="Consolas" w:cs="Consolas" w:eastAsia="Consolas" w:hAnsi="Consolas"/>
                <w:color w:val="E8EFEA"/>
                <w:sz w:val="18"/>
                <w:szCs w:val="18"/>
              </w:rPr>
              <w:t xml:space="preserve">firebase deploy --only firestore:indexes   # loginEvents composite index</w:t>
            </w:r>
          </w:p>
        </w:tc>
      </w:tr>
    </w:tbl>
    <w:p>
      <w:pPr>
        <w:spacing w:after="120"/>
      </w:pPr>
      <w:r>
        <w:rPr>
          <w:sz w:val="21"/>
          <w:szCs w:val="21"/>
        </w:rPr>
        <w:t xml:space="preserve">Then review two diffs with your own eyes before trusting production money paths: src/app/api/projects/[id]/equipment/route.ts and src/lib/functions/equipment-sizing.ts.</w:t>
      </w:r>
    </w:p>
    <w:p>
      <w:pPr>
        <w:pStyle w:val="Heading1"/>
        <w:spacing w:after="160" w:before="340"/>
      </w:pPr>
      <w:r>
        <w:rPr>
          <w:b/>
          <w:bCs/>
          <w:color w:val="1F3F62"/>
          <w:sz w:val="30"/>
          <w:szCs w:val="30"/>
        </w:rPr>
        <w:t xml:space="preserve">6. Phase C1 — Local Solver Proof (the gate everything waits on)</w:t>
      </w:r>
    </w:p>
    <w:p>
      <w:pPr>
        <w:spacing w:after="120"/>
      </w:pPr>
      <w:r>
        <w:rPr>
          <w:sz w:val="21"/>
          <w:szCs w:val="21"/>
        </w:rPr>
        <w:t xml:space="preserve">Nothing downstream matters until one real room solves locally. Treat the first run as a debugging session. Export a case straight from the test fixture (identical geometry to the suite):</w:t>
      </w:r>
    </w:p>
    <w:tbl>
      <w:tblPr>
        <w:tblW w:type="dxa" w:w="9360"/>
        <w:tblBorders>
          <w:top w:val="single" w:color="CAD5CC" w:sz="4"/>
          <w:left w:val="single" w:color="CAD5CC" w:sz="4"/>
          <w:bottom w:val="single" w:color="CAD5CC" w:sz="4"/>
          <w:right w:val="single" w:color="CAD5CC" w:sz="4"/>
          <w:insideH w:val="single" w:color="auto" w:sz="4"/>
          <w:insideV w:val="single" w:color="auto" w:sz="4"/>
        </w:tblBorders>
      </w:tblPr>
      <w:tblGrid>
        <w:gridCol w:w="9360"/>
      </w:tblGrid>
      <w:tr>
        <w:tc>
          <w:tcPr>
            <w:tcW w:type="dxa" w:w="9360"/>
            <w:shd w:fill="121918" w:val="clear"/>
            <w:tcMar>
              <w:top w:type="dxa" w:w="100"/>
              <w:left w:type="dxa" w:w="140"/>
              <w:bottom w:type="dxa" w:w="100"/>
              <w:right w:type="dxa" w:w="140"/>
            </w:tcMar>
          </w:tcPr>
          <w:p>
            <w:pPr>
              <w:spacing w:after="20"/>
            </w:pPr>
            <w:r>
              <w:rPr>
                <w:rFonts w:ascii="Consolas" w:cs="Consolas" w:eastAsia="Consolas" w:hAnsi="Consolas"/>
                <w:color w:val="E8EFEA"/>
                <w:sz w:val="18"/>
                <w:szCs w:val="18"/>
              </w:rPr>
              <w:t xml:space="preserve">npx tsx -e "</w:t>
            </w:r>
          </w:p>
          <w:p>
            <w:pPr>
              <w:spacing w:after="20"/>
            </w:pPr>
            <w:r>
              <w:rPr>
                <w:rFonts w:ascii="Consolas" w:cs="Consolas" w:eastAsia="Consolas" w:hAnsi="Consolas"/>
                <w:color w:val="E8EFEA"/>
                <w:sz w:val="18"/>
                <w:szCs w:val="18"/>
              </w:rPr>
              <w:t xml:space="preserve">import { buildStructuredGrid, recommendCellSize } from './src/lib/engine/simulation/geometry-builder';</w:t>
            </w:r>
          </w:p>
          <w:p>
            <w:pPr>
              <w:spacing w:after="20"/>
            </w:pPr>
            <w:r>
              <w:rPr>
                <w:rFonts w:ascii="Consolas" w:cs="Consolas" w:eastAsia="Consolas" w:hAnsi="Consolas"/>
                <w:color w:val="E8EFEA"/>
                <w:sz w:val="18"/>
                <w:szCs w:val="18"/>
              </w:rPr>
              <w:t xml:space="preserve">import { buildOpenFOAMConfig, generateCaseFiles } from './src/lib/engine/simulation/openfoam-exporter';</w:t>
            </w:r>
          </w:p>
          <w:p>
            <w:pPr>
              <w:spacing w:after="20"/>
            </w:pPr>
            <w:r>
              <w:rPr>
                <w:rFonts w:ascii="Consolas" w:cs="Consolas" w:eastAsia="Consolas" w:hAnsi="Consolas"/>
                <w:color w:val="E8EFEA"/>
                <w:sz w:val="18"/>
                <w:szCs w:val="18"/>
              </w:rPr>
              <w:t xml:space="preserve">import { mkdirSync, writeFileSync } from 'fs'; import { dirname } from 'path';</w:t>
            </w:r>
          </w:p>
          <w:p>
            <w:pPr>
              <w:spacing w:after="20"/>
            </w:pPr>
            <w:r>
              <w:rPr>
                <w:rFonts w:ascii="Consolas" w:cs="Consolas" w:eastAsia="Consolas" w:hAnsi="Consolas"/>
                <w:color w:val="E8EFEA"/>
                <w:sz w:val="18"/>
                <w:szCs w:val="18"/>
              </w:rPr>
              <w:t xml:space="preserve">/* paste the oneRoomGeometry() + buildCase() bodies from the export smoke test */</w:t>
            </w:r>
          </w:p>
          <w:p>
            <w:pPr>
              <w:spacing w:after="20"/>
            </w:pPr>
            <w:r>
              <w:rPr>
                <w:rFonts w:ascii="Consolas" w:cs="Consolas" w:eastAsia="Consolas" w:hAnsi="Consolas"/>
                <w:color w:val="E8EFEA"/>
                <w:sz w:val="18"/>
                <w:szCs w:val="18"/>
              </w:rPr>
              <w:t xml:space="preserve">const files = generateCaseFiles(buildOpenFOAMConfig(buildCase()));</w:t>
            </w:r>
          </w:p>
          <w:p>
            <w:pPr>
              <w:spacing w:after="20"/>
            </w:pPr>
            <w:r>
              <w:rPr>
                <w:rFonts w:ascii="Consolas" w:cs="Consolas" w:eastAsia="Consolas" w:hAnsi="Consolas"/>
                <w:color w:val="E8EFEA"/>
                <w:sz w:val="18"/>
                <w:szCs w:val="18"/>
              </w:rPr>
              <w:t xml:space="preserve">const payload = { solver: 'buoyantSimpleFoam', files: Object.fromEntries(files),</w:t>
            </w:r>
          </w:p>
          <w:p>
            <w:pPr>
              <w:spacing w:after="20"/>
            </w:pPr>
            <w:r>
              <w:rPr>
                <w:rFonts w:ascii="Consolas" w:cs="Consolas" w:eastAsia="Consolas" w:hAnsi="Consolas"/>
                <w:color w:val="E8EFEA"/>
                <w:sz w:val="18"/>
                <w:szCs w:val="18"/>
              </w:rPr>
              <w:t xml:space="preserve">  dimensions: (({nx,ny,nz}) =&gt; ({nx,ny,nz}))(buildCase().mesh), runJobId: 'c1-local' };</w:t>
            </w:r>
          </w:p>
          <w:p>
            <w:pPr>
              <w:spacing w:after="20"/>
            </w:pPr>
            <w:r>
              <w:rPr>
                <w:rFonts w:ascii="Consolas" w:cs="Consolas" w:eastAsia="Consolas" w:hAnsi="Consolas"/>
                <w:color w:val="E8EFEA"/>
                <w:sz w:val="18"/>
                <w:szCs w:val="18"/>
              </w:rPr>
              <w:t xml:space="preserve">writeFileSync('./c1-input.json', JSON.stringify(payload)); console.log('wrote c1-input.json');"</w:t>
            </w:r>
          </w:p>
          <w:p>
            <w:pPr>
              <w:spacing w:after="20"/>
            </w:pPr>
            <w:r>
              <w:rPr>
                <w:rFonts w:ascii="Consolas" w:cs="Consolas" w:eastAsia="Consolas" w:hAnsi="Consolas"/>
                <w:color w:val="E8EFEA"/>
                <w:sz w:val="18"/>
                <w:szCs w:val="18"/>
              </w:rPr>
              <w:t xml:space="preserve"/>
            </w:r>
          </w:p>
          <w:p>
            <w:pPr>
              <w:spacing w:after="20"/>
            </w:pPr>
            <w:r>
              <w:rPr>
                <w:rFonts w:ascii="Consolas" w:cs="Consolas" w:eastAsia="Consolas" w:hAnsi="Consolas"/>
                <w:color w:val="E8EFEA"/>
                <w:sz w:val="18"/>
                <w:szCs w:val="18"/>
              </w:rPr>
              <w:t xml:space="preserve">cd services/cfd-solver &amp;&amp; docker build -t cfd-solver:local .</w:t>
            </w:r>
          </w:p>
          <w:p>
            <w:pPr>
              <w:spacing w:after="20"/>
            </w:pPr>
            <w:r>
              <w:rPr>
                <w:rFonts w:ascii="Consolas" w:cs="Consolas" w:eastAsia="Consolas" w:hAnsi="Consolas"/>
                <w:color w:val="E8EFEA"/>
                <w:sz w:val="18"/>
                <w:szCs w:val="18"/>
              </w:rPr>
              <w:t xml:space="preserve">docker run --rm -e CASE_INPUT_PATH=/input/case.json -e RESULT_OUTPUT_PATH=/output/result.json \</w:t>
            </w:r>
          </w:p>
          <w:p>
            <w:pPr>
              <w:spacing w:after="20"/>
            </w:pPr>
            <w:r>
              <w:rPr>
                <w:rFonts w:ascii="Consolas" w:cs="Consolas" w:eastAsia="Consolas" w:hAnsi="Consolas"/>
                <w:color w:val="E8EFEA"/>
                <w:sz w:val="18"/>
                <w:szCs w:val="18"/>
              </w:rPr>
              <w:t xml:space="preserve">  -v $(pwd)/../../c1-input.json:/input/case.json -v $(pwd)/out:/output cfd-solver:local</w:t>
            </w:r>
          </w:p>
        </w:tc>
      </w:tr>
    </w:tbl>
    <w:tbl>
      <w:tblPr>
        <w:tblW w:type="dxa" w:w="9360"/>
        <w:tblBorders>
          <w:top w:val="single" w:color="CAD5CC" w:sz="4"/>
          <w:left w:val="single" w:color="CAD5CC" w:sz="4"/>
          <w:bottom w:val="single" w:color="CAD5CC" w:sz="4"/>
          <w:right w:val="single" w:color="CAD5CC" w:sz="4"/>
          <w:insideH w:val="single" w:color="CAD5CC" w:sz="4"/>
          <w:insideV w:val="single" w:color="CAD5CC" w:sz="4"/>
        </w:tblBorders>
      </w:tblPr>
      <w:tblGrid>
        <w:gridCol w:w="4300"/>
        <w:gridCol w:w="5060"/>
      </w:tblGrid>
      <w:tr>
        <w:trPr>
          <w:tblHeader/>
        </w:trPr>
        <w:tc>
          <w:tcPr>
            <w:tcW w:type="dxa" w:w="4300"/>
            <w:shd w:fill="1F3F62" w:val="clear"/>
            <w:tcMar>
              <w:top w:type="dxa" w:w="60"/>
              <w:left w:type="dxa" w:w="100"/>
              <w:bottom w:type="dxa" w:w="60"/>
              <w:right w:type="dxa" w:w="100"/>
            </w:tcMar>
          </w:tcPr>
          <w:p>
            <w:r>
              <w:rPr>
                <w:b/>
                <w:bCs/>
                <w:color w:val="FFFFFF"/>
                <w:sz w:val="19"/>
                <w:szCs w:val="19"/>
              </w:rPr>
              <w:t xml:space="preserve">Likely first failures (in order)</w:t>
            </w:r>
          </w:p>
        </w:tc>
        <w:tc>
          <w:tcPr>
            <w:tcW w:type="dxa" w:w="5060"/>
            <w:shd w:fill="1F3F62" w:val="clear"/>
            <w:tcMar>
              <w:top w:type="dxa" w:w="60"/>
              <w:left w:type="dxa" w:w="100"/>
              <w:bottom w:type="dxa" w:w="60"/>
              <w:right w:type="dxa" w:w="100"/>
            </w:tcMar>
          </w:tcPr>
          <w:p>
            <w:r>
              <w:rPr>
                <w:b/>
                <w:bCs/>
                <w:color w:val="FFFFFF"/>
                <w:sz w:val="19"/>
                <w:szCs w:val="19"/>
              </w:rPr>
              <w:t xml:space="preserve">Where to look</w:t>
            </w:r>
          </w:p>
        </w:tc>
      </w:tr>
      <w:tr>
        <w:tc>
          <w:tcPr>
            <w:tcW w:type="dxa" w:w="4300"/>
            <w:tcMar>
              <w:top w:type="dxa" w:w="50"/>
              <w:left w:type="dxa" w:w="100"/>
              <w:bottom w:type="dxa" w:w="50"/>
              <w:right w:type="dxa" w:w="100"/>
            </w:tcMar>
          </w:tcPr>
          <w:p>
            <w:r>
              <w:rPr>
                <w:sz w:val="19"/>
                <w:szCs w:val="19"/>
              </w:rPr>
              <w:t xml:space="preserve">Docker build fails at apt install</w:t>
            </w:r>
          </w:p>
        </w:tc>
        <w:tc>
          <w:tcPr>
            <w:tcW w:type="dxa" w:w="5060"/>
            <w:tcMar>
              <w:top w:type="dxa" w:w="50"/>
              <w:left w:type="dxa" w:w="100"/>
              <w:bottom w:type="dxa" w:w="50"/>
              <w:right w:type="dxa" w:w="100"/>
            </w:tcMar>
          </w:tcPr>
          <w:p>
            <w:r>
              <w:rPr>
                <w:sz w:val="19"/>
                <w:szCs w:val="19"/>
              </w:rPr>
              <w:t xml:space="preserve">openfoam.com install page — package may have moved past 2406; update Dockerfile package + OPENFOAM_BASHRC path together</w:t>
            </w:r>
          </w:p>
        </w:tc>
      </w:tr>
      <w:tr>
        <w:tc>
          <w:tcPr>
            <w:tcW w:type="dxa" w:w="4300"/>
            <w:shd w:fill="F1F3ED" w:val="clear"/>
            <w:tcMar>
              <w:top w:type="dxa" w:w="50"/>
              <w:left w:type="dxa" w:w="100"/>
              <w:bottom w:type="dxa" w:w="50"/>
              <w:right w:type="dxa" w:w="100"/>
            </w:tcMar>
          </w:tcPr>
          <w:p>
            <w:r>
              <w:rPr>
                <w:sz w:val="19"/>
                <w:szCs w:val="19"/>
              </w:rPr>
              <w:t xml:space="preserve">blockMesh/checkMesh complaints</w:t>
            </w:r>
          </w:p>
        </w:tc>
        <w:tc>
          <w:tcPr>
            <w:tcW w:type="dxa" w:w="5060"/>
            <w:shd w:fill="F1F3ED" w:val="clear"/>
            <w:tcMar>
              <w:top w:type="dxa" w:w="50"/>
              <w:left w:type="dxa" w:w="100"/>
              <w:bottom w:type="dxa" w:w="50"/>
              <w:right w:type="dxa" w:w="100"/>
            </w:tcMar>
          </w:tcPr>
          <w:p>
            <w:r>
              <w:rPr>
                <w:sz w:val="19"/>
                <w:szCs w:val="19"/>
              </w:rPr>
              <w:t xml:space="preserve">checkMesh output is captured non-fatally in the log tail for exactly this — degenerate faces on odd aspect ratios show here first</w:t>
            </w:r>
          </w:p>
        </w:tc>
      </w:tr>
      <w:tr>
        <w:tc>
          <w:tcPr>
            <w:tcW w:type="dxa" w:w="4300"/>
            <w:tcMar>
              <w:top w:type="dxa" w:w="50"/>
              <w:left w:type="dxa" w:w="100"/>
              <w:bottom w:type="dxa" w:w="50"/>
              <w:right w:type="dxa" w:w="100"/>
            </w:tcMar>
          </w:tcPr>
          <w:p>
            <w:r>
              <w:rPr>
                <w:sz w:val="19"/>
                <w:szCs w:val="19"/>
              </w:rPr>
              <w:t xml:space="preserve">topoSet produces empty faceSets</w:t>
            </w:r>
          </w:p>
        </w:tc>
        <w:tc>
          <w:tcPr>
            <w:tcW w:type="dxa" w:w="5060"/>
            <w:tcMar>
              <w:top w:type="dxa" w:w="50"/>
              <w:left w:type="dxa" w:w="100"/>
              <w:bottom w:type="dxa" w:w="50"/>
              <w:right w:type="dxa" w:w="100"/>
            </w:tcMar>
          </w:tcPr>
          <w:p>
            <w:r>
              <w:rPr>
                <w:sz w:val="19"/>
                <w:szCs w:val="19"/>
              </w:rPr>
              <w:t xml:space="preserve">A patch’s cells don’t touch a true outer box face; verify against your room dimensions and the half-cell padding in buildTopoSetAndCreatePatchDicts</w:t>
            </w:r>
          </w:p>
        </w:tc>
      </w:tr>
      <w:tr>
        <w:tc>
          <w:tcPr>
            <w:tcW w:type="dxa" w:w="4300"/>
            <w:shd w:fill="F1F3ED" w:val="clear"/>
            <w:tcMar>
              <w:top w:type="dxa" w:w="50"/>
              <w:left w:type="dxa" w:w="100"/>
              <w:bottom w:type="dxa" w:w="50"/>
              <w:right w:type="dxa" w:w="100"/>
            </w:tcMar>
          </w:tcPr>
          <w:p>
            <w:r>
              <w:rPr>
                <w:sz w:val="19"/>
                <w:szCs w:val="19"/>
              </w:rPr>
              <w:t xml:space="preserve">Solver diverges before first write</w:t>
            </w:r>
          </w:p>
        </w:tc>
        <w:tc>
          <w:tcPr>
            <w:tcW w:type="dxa" w:w="5060"/>
            <w:shd w:fill="F1F3ED" w:val="clear"/>
            <w:tcMar>
              <w:top w:type="dxa" w:w="50"/>
              <w:left w:type="dxa" w:w="100"/>
              <w:bottom w:type="dxa" w:w="50"/>
              <w:right w:type="dxa" w:w="100"/>
            </w:tcMar>
          </w:tcPr>
          <w:p>
            <w:r>
              <w:rPr>
                <w:sz w:val="19"/>
                <w:szCs w:val="19"/>
              </w:rPr>
              <w:t xml:space="preserve">Relax fvSolution under-relaxation factors (pressure toward 0.2–0.3)</w:t>
            </w:r>
          </w:p>
        </w:tc>
      </w:tr>
      <w:tr>
        <w:tc>
          <w:tcPr>
            <w:tcW w:type="dxa" w:w="4300"/>
            <w:tcMar>
              <w:top w:type="dxa" w:w="50"/>
              <w:left w:type="dxa" w:w="100"/>
              <w:bottom w:type="dxa" w:w="50"/>
              <w:right w:type="dxa" w:w="100"/>
            </w:tcMar>
          </w:tcPr>
          <w:p>
            <w:r>
              <w:rPr>
                <w:sz w:val="19"/>
                <w:szCs w:val="19"/>
              </w:rPr>
              <w:t xml:space="preserve">fluidfoam shape mismatch</w:t>
            </w:r>
          </w:p>
        </w:tc>
        <w:tc>
          <w:tcPr>
            <w:tcW w:type="dxa" w:w="5060"/>
            <w:tcMar>
              <w:top w:type="dxa" w:w="50"/>
              <w:left w:type="dxa" w:w="100"/>
              <w:bottom w:type="dxa" w:w="50"/>
              <w:right w:type="dxa" w:w="100"/>
            </w:tcMar>
          </w:tcPr>
          <w:p>
            <w:r>
              <w:rPr>
                <w:sz w:val="19"/>
                <w:szCs w:val="19"/>
              </w:rPr>
              <w:t xml:space="preserve">The wrapper asserts readmesh shape vs nx/ny/nz and fails with a clear message — the mesh didn’t come out structured as assumed</w:t>
            </w:r>
          </w:p>
        </w:tc>
      </w:tr>
    </w:tbl>
    <w:p>
      <w:pPr>
        <w:spacing w:after="120"/>
      </w:pPr>
      <w:r>
        <w:rPr>
          <w:sz w:val="21"/>
          <w:szCs w:val="21"/>
        </w:rPr>
        <w:t xml:space="preserve">C1 pass gate: out/result.json contains non-NaN, physically plausible temperature/velocity/pressure arrays. Record the run in docs/validation-log.md immediately — that log is the product’s engineering credibility.</w:t>
      </w:r>
    </w:p>
    <w:p>
      <w:pPr>
        <w:pStyle w:val="Heading1"/>
        <w:spacing w:after="160" w:before="340"/>
      </w:pPr>
      <w:r>
        <w:rPr>
          <w:b/>
          <w:bCs/>
          <w:color w:val="1F3F62"/>
          <w:sz w:val="30"/>
          <w:szCs w:val="30"/>
        </w:rPr>
        <w:t xml:space="preserve">7. Phases C2–C3 — Provision, then First Cloud Run</w:t>
      </w:r>
    </w:p>
    <w:p>
      <w:pPr>
        <w:pStyle w:val="ListParagraph"/>
        <w:numPr>
          <w:ilvl w:val="0"/>
          <w:numId w:val="2"/>
        </w:numPr>
        <w:spacing w:after="80"/>
      </w:pPr>
      <w:r>
        <w:rPr>
          <w:sz w:val="21"/>
          <w:szCs w:val="21"/>
        </w:rPr>
        <w:t xml:space="preserve">Artifact Registry + push the C1-proven image; create the bucket and apply the lifecycle config already committed at services/cfd-solver/lifecycle.json (7-day auto-delete of transient job files).</w:t>
      </w:r>
    </w:p>
    <w:p>
      <w:pPr>
        <w:pStyle w:val="ListParagraph"/>
        <w:numPr>
          <w:ilvl w:val="0"/>
          <w:numId w:val="2"/>
        </w:numPr>
        <w:spacing w:after="80"/>
      </w:pPr>
      <w:r>
        <w:rPr>
          <w:sz w:val="21"/>
          <w:szCs w:val="21"/>
        </w:rPr>
        <w:t xml:space="preserve">Service account: roles/run.developer for the app’s identity; roles/storage.objectAdmin scoped to that bucket only.</w:t>
      </w:r>
    </w:p>
    <w:p>
      <w:pPr>
        <w:pStyle w:val="ListParagraph"/>
        <w:numPr>
          <w:ilvl w:val="0"/>
          <w:numId w:val="2"/>
        </w:numPr>
        <w:spacing w:after="80"/>
      </w:pPr>
      <w:r>
        <w:rPr>
          <w:sz w:val="21"/>
          <w:szCs w:val="21"/>
        </w:rPr>
        <w:t xml:space="preserve">gcloud run jobs create cfd-solver --cpu 4 --memory 8Gi --task-timeout 3600 --max-retries 0 (tune after seeing C1’s real memory).</w:t>
      </w:r>
    </w:p>
    <w:p>
      <w:pPr>
        <w:pStyle w:val="ListParagraph"/>
        <w:numPr>
          <w:ilvl w:val="0"/>
          <w:numId w:val="2"/>
        </w:numPr>
        <w:spacing w:after="80"/>
      </w:pPr>
      <w:r>
        <w:rPr>
          <w:sz w:val="21"/>
          <w:szCs w:val="21"/>
        </w:rPr>
        <w:t xml:space="preserve">Fill the CFD_* block in .env (names already documented in .env.example): CFD_GCS_BUCKET, CFD_CLOUD_RUN_JOB, CFD_CLOUD_RUN_REGION, CFD_GCP_PROJECT, CFD_CALLBACK_SECRET, CFD_CALLBACK_BASE_URL.</w:t>
      </w:r>
    </w:p>
    <w:p>
      <w:pPr>
        <w:pStyle w:val="ListParagraph"/>
        <w:numPr>
          <w:ilvl w:val="0"/>
          <w:numId w:val="2"/>
        </w:numPr>
        <w:spacing w:after="80"/>
      </w:pPr>
      <w:r>
        <w:rPr>
          <w:sz w:val="21"/>
          <w:szCs w:val="21"/>
        </w:rPr>
        <w:t xml:space="preserve">C3 code already exists (runs POST + callback). First cloud test: trigger from the UI, watch the run job move queued → running → completed via the existing progress card, confirm fields import and the 3D view renders the OpenFOAM result through the same snapshot path as Preview.</w:t>
      </w:r>
    </w:p>
    <w:p>
      <w:pPr>
        <w:pStyle w:val="Heading1"/>
        <w:spacing w:after="160" w:before="340"/>
      </w:pPr>
      <w:r>
        <w:rPr>
          <w:b/>
          <w:bCs/>
          <w:color w:val="1F3F62"/>
          <w:sz w:val="30"/>
          <w:szCs w:val="30"/>
        </w:rPr>
        <w:t xml:space="preserve">8. Process — So Wave 8’s Failure Mode Cannot Recur</w:t>
      </w:r>
    </w:p>
    <w:p>
      <w:pPr>
        <w:pStyle w:val="ListParagraph"/>
        <w:numPr>
          <w:ilvl w:val="0"/>
          <w:numId w:val="2"/>
        </w:numPr>
        <w:spacing w:after="80"/>
      </w:pPr>
      <w:r>
        <w:rPr>
          <w:sz w:val="21"/>
          <w:szCs w:val="21"/>
        </w:rPr>
        <w:t xml:space="preserve">Integration rule: patches land in commit order; no new layer starts until the prior patch’s gates run green ON the integrated tree (the exact gap between 06b83d5 and face86a).</w:t>
      </w:r>
    </w:p>
    <w:p>
      <w:pPr>
        <w:pStyle w:val="ListParagraph"/>
        <w:numPr>
          <w:ilvl w:val="0"/>
          <w:numId w:val="2"/>
        </w:numPr>
        <w:spacing w:after="80"/>
      </w:pPr>
      <w:r>
        <w:rPr>
          <w:sz w:val="21"/>
          <w:szCs w:val="21"/>
        </w:rPr>
        <w:t xml:space="preserve">CI (GitHub Actions): on every PR run tsc, eslint, vitest, validate:price-override; nightly, build the cfd-solver image so upstream OpenFOAM repo changes surface early. This makes “gates on the integrated tree” automatic instead of remembered.</w:t>
      </w:r>
    </w:p>
    <w:p>
      <w:pPr>
        <w:pStyle w:val="ListParagraph"/>
        <w:numPr>
          <w:ilvl w:val="0"/>
          <w:numId w:val="2"/>
        </w:numPr>
        <w:spacing w:after="80"/>
      </w:pPr>
      <w:r>
        <w:rPr>
          <w:sz w:val="21"/>
          <w:szCs w:val="21"/>
        </w:rPr>
        <w:t xml:space="preserve">Contract tests assert the CONSUMER’s requirements (what the solver needs), never the producer’s current output — the difference between the old export test and the new one.</w:t>
      </w:r>
    </w:p>
    <w:p>
      <w:pPr>
        <w:pStyle w:val="Heading1"/>
        <w:spacing w:after="160" w:before="340"/>
      </w:pPr>
      <w:r>
        <w:rPr>
          <w:b/>
          <w:bCs/>
          <w:color w:val="1F3F62"/>
          <w:sz w:val="30"/>
          <w:szCs w:val="30"/>
        </w:rPr>
        <w:t xml:space="preserve">9. Forward Roadmap (updated for what face86a completed)</w:t>
      </w:r>
    </w:p>
    <w:tbl>
      <w:tblPr>
        <w:tblW w:type="dxa" w:w="9360"/>
        <w:tblBorders>
          <w:top w:val="single" w:color="CAD5CC" w:sz="4"/>
          <w:left w:val="single" w:color="CAD5CC" w:sz="4"/>
          <w:bottom w:val="single" w:color="CAD5CC" w:sz="4"/>
          <w:right w:val="single" w:color="CAD5CC" w:sz="4"/>
          <w:insideH w:val="single" w:color="CAD5CC" w:sz="4"/>
          <w:insideV w:val="single" w:color="CAD5CC" w:sz="4"/>
        </w:tblBorders>
      </w:tblPr>
      <w:tblGrid>
        <w:gridCol w:w="1900"/>
        <w:gridCol w:w="5100"/>
        <w:gridCol w:w="2360"/>
      </w:tblGrid>
      <w:tr>
        <w:trPr>
          <w:tblHeader/>
        </w:trPr>
        <w:tc>
          <w:tcPr>
            <w:tcW w:type="dxa" w:w="1900"/>
            <w:shd w:fill="1F3F62" w:val="clear"/>
            <w:tcMar>
              <w:top w:type="dxa" w:w="60"/>
              <w:left w:type="dxa" w:w="100"/>
              <w:bottom w:type="dxa" w:w="60"/>
              <w:right w:type="dxa" w:w="100"/>
            </w:tcMar>
          </w:tcPr>
          <w:p>
            <w:r>
              <w:rPr>
                <w:b/>
                <w:bCs/>
                <w:color w:val="FFFFFF"/>
                <w:sz w:val="19"/>
                <w:szCs w:val="19"/>
              </w:rPr>
              <w:t xml:space="preserve">Phase</w:t>
            </w:r>
          </w:p>
        </w:tc>
        <w:tc>
          <w:tcPr>
            <w:tcW w:type="dxa" w:w="5100"/>
            <w:shd w:fill="1F3F62" w:val="clear"/>
            <w:tcMar>
              <w:top w:type="dxa" w:w="60"/>
              <w:left w:type="dxa" w:w="100"/>
              <w:bottom w:type="dxa" w:w="60"/>
              <w:right w:type="dxa" w:w="100"/>
            </w:tcMar>
          </w:tcPr>
          <w:p>
            <w:r>
              <w:rPr>
                <w:b/>
                <w:bCs/>
                <w:color w:val="FFFFFF"/>
                <w:sz w:val="19"/>
                <w:szCs w:val="19"/>
              </w:rPr>
              <w:t xml:space="preserve">Contents</w:t>
            </w:r>
          </w:p>
        </w:tc>
        <w:tc>
          <w:tcPr>
            <w:tcW w:type="dxa" w:w="2360"/>
            <w:shd w:fill="1F3F62" w:val="clear"/>
            <w:tcMar>
              <w:top w:type="dxa" w:w="60"/>
              <w:left w:type="dxa" w:w="100"/>
              <w:bottom w:type="dxa" w:w="60"/>
              <w:right w:type="dxa" w:w="100"/>
            </w:tcMar>
          </w:tcPr>
          <w:p>
            <w:r>
              <w:rPr>
                <w:b/>
                <w:bCs/>
                <w:color w:val="FFFFFF"/>
                <w:sz w:val="19"/>
                <w:szCs w:val="19"/>
              </w:rPr>
              <w:t xml:space="preserve">Status / estimate</w:t>
            </w:r>
          </w:p>
        </w:tc>
      </w:tr>
      <w:tr>
        <w:tc>
          <w:tcPr>
            <w:tcW w:type="dxa" w:w="1900"/>
            <w:tcMar>
              <w:top w:type="dxa" w:w="50"/>
              <w:left w:type="dxa" w:w="100"/>
              <w:bottom w:type="dxa" w:w="50"/>
              <w:right w:type="dxa" w:w="100"/>
            </w:tcMar>
          </w:tcPr>
          <w:p>
            <w:r>
              <w:rPr>
                <w:sz w:val="19"/>
                <w:szCs w:val="19"/>
              </w:rPr>
              <w:t xml:space="preserve">P0 Land Wave 8</w:t>
            </w:r>
          </w:p>
        </w:tc>
        <w:tc>
          <w:tcPr>
            <w:tcW w:type="dxa" w:w="5100"/>
            <w:tcMar>
              <w:top w:type="dxa" w:w="50"/>
              <w:left w:type="dxa" w:w="100"/>
              <w:bottom w:type="dxa" w:w="50"/>
              <w:right w:type="dxa" w:w="100"/>
            </w:tcMar>
          </w:tcPr>
          <w:p>
            <w:r>
              <w:rPr>
                <w:sz w:val="19"/>
                <w:szCs w:val="19"/>
              </w:rPr>
              <w:t xml:space="preserve">Section 5 runbook</w:t>
            </w:r>
          </w:p>
        </w:tc>
        <w:tc>
          <w:tcPr>
            <w:tcW w:type="dxa" w:w="2360"/>
            <w:tcMar>
              <w:top w:type="dxa" w:w="50"/>
              <w:left w:type="dxa" w:w="100"/>
              <w:bottom w:type="dxa" w:w="50"/>
              <w:right w:type="dxa" w:w="100"/>
            </w:tcMar>
          </w:tcPr>
          <w:p>
            <w:r>
              <w:rPr>
                <w:sz w:val="19"/>
                <w:szCs w:val="19"/>
              </w:rPr>
              <w:t xml:space="preserve">0.5 day — NOW</w:t>
            </w:r>
          </w:p>
        </w:tc>
      </w:tr>
      <w:tr>
        <w:tc>
          <w:tcPr>
            <w:tcW w:type="dxa" w:w="1900"/>
            <w:shd w:fill="F1F3ED" w:val="clear"/>
            <w:tcMar>
              <w:top w:type="dxa" w:w="50"/>
              <w:left w:type="dxa" w:w="100"/>
              <w:bottom w:type="dxa" w:w="50"/>
              <w:right w:type="dxa" w:w="100"/>
            </w:tcMar>
          </w:tcPr>
          <w:p>
            <w:r>
              <w:rPr>
                <w:sz w:val="19"/>
                <w:szCs w:val="19"/>
              </w:rPr>
              <w:t xml:space="preserve">C1 Local proof</w:t>
            </w:r>
          </w:p>
        </w:tc>
        <w:tc>
          <w:tcPr>
            <w:tcW w:type="dxa" w:w="5100"/>
            <w:shd w:fill="F1F3ED" w:val="clear"/>
            <w:tcMar>
              <w:top w:type="dxa" w:w="50"/>
              <w:left w:type="dxa" w:w="100"/>
              <w:bottom w:type="dxa" w:w="50"/>
              <w:right w:type="dxa" w:w="100"/>
            </w:tcMar>
          </w:tcPr>
          <w:p>
            <w:r>
              <w:rPr>
                <w:sz w:val="19"/>
                <w:szCs w:val="19"/>
              </w:rPr>
              <w:t xml:space="preserve">Section 6</w:t>
            </w:r>
          </w:p>
        </w:tc>
        <w:tc>
          <w:tcPr>
            <w:tcW w:type="dxa" w:w="2360"/>
            <w:shd w:fill="F1F3ED" w:val="clear"/>
            <w:tcMar>
              <w:top w:type="dxa" w:w="50"/>
              <w:left w:type="dxa" w:w="100"/>
              <w:bottom w:type="dxa" w:w="50"/>
              <w:right w:type="dxa" w:w="100"/>
            </w:tcMar>
          </w:tcPr>
          <w:p>
            <w:r>
              <w:rPr>
                <w:sz w:val="19"/>
                <w:szCs w:val="19"/>
              </w:rPr>
              <w:t xml:space="preserve">2–7 days (honest range)</w:t>
            </w:r>
          </w:p>
        </w:tc>
      </w:tr>
      <w:tr>
        <w:tc>
          <w:tcPr>
            <w:tcW w:type="dxa" w:w="1900"/>
            <w:tcMar>
              <w:top w:type="dxa" w:w="50"/>
              <w:left w:type="dxa" w:w="100"/>
              <w:bottom w:type="dxa" w:w="50"/>
              <w:right w:type="dxa" w:w="100"/>
            </w:tcMar>
          </w:tcPr>
          <w:p>
            <w:r>
              <w:rPr>
                <w:sz w:val="19"/>
                <w:szCs w:val="19"/>
              </w:rPr>
              <w:t xml:space="preserve">C2–C3 Cloud path</w:t>
            </w:r>
          </w:p>
        </w:tc>
        <w:tc>
          <w:tcPr>
            <w:tcW w:type="dxa" w:w="5100"/>
            <w:tcMar>
              <w:top w:type="dxa" w:w="50"/>
              <w:left w:type="dxa" w:w="100"/>
              <w:bottom w:type="dxa" w:w="50"/>
              <w:right w:type="dxa" w:w="100"/>
            </w:tcMar>
          </w:tcPr>
          <w:p>
            <w:r>
              <w:rPr>
                <w:sz w:val="19"/>
                <w:szCs w:val="19"/>
              </w:rPr>
              <w:t xml:space="preserve">Section 7 (code done; provisioning + first run)</w:t>
            </w:r>
          </w:p>
        </w:tc>
        <w:tc>
          <w:tcPr>
            <w:tcW w:type="dxa" w:w="2360"/>
            <w:tcMar>
              <w:top w:type="dxa" w:w="50"/>
              <w:left w:type="dxa" w:w="100"/>
              <w:bottom w:type="dxa" w:w="50"/>
              <w:right w:type="dxa" w:w="100"/>
            </w:tcMar>
          </w:tcPr>
          <w:p>
            <w:r>
              <w:rPr>
                <w:sz w:val="19"/>
                <w:szCs w:val="19"/>
              </w:rPr>
              <w:t xml:space="preserve">2–4 days</w:t>
            </w:r>
          </w:p>
        </w:tc>
      </w:tr>
      <w:tr>
        <w:tc>
          <w:tcPr>
            <w:tcW w:type="dxa" w:w="1900"/>
            <w:shd w:fill="F1F3ED" w:val="clear"/>
            <w:tcMar>
              <w:top w:type="dxa" w:w="50"/>
              <w:left w:type="dxa" w:w="100"/>
              <w:bottom w:type="dxa" w:w="50"/>
              <w:right w:type="dxa" w:w="100"/>
            </w:tcMar>
          </w:tcPr>
          <w:p>
            <w:r>
              <w:rPr>
                <w:sz w:val="19"/>
                <w:szCs w:val="19"/>
              </w:rPr>
              <w:t xml:space="preserve">C4 Validation ladder</w:t>
            </w:r>
          </w:p>
        </w:tc>
        <w:tc>
          <w:tcPr>
            <w:tcW w:type="dxa" w:w="5100"/>
            <w:shd w:fill="F1F3ED" w:val="clear"/>
            <w:tcMar>
              <w:top w:type="dxa" w:w="50"/>
              <w:left w:type="dxa" w:w="100"/>
              <w:bottom w:type="dxa" w:w="50"/>
              <w:right w:type="dxa" w:w="100"/>
            </w:tcMar>
          </w:tcPr>
          <w:p>
            <w:r>
              <w:rPr>
                <w:sz w:val="19"/>
                <w:szCs w:val="19"/>
              </w:rPr>
              <w:t xml:space="preserve">V1–V6 into docs/validation-log.md incl. k-omega-sst switch</w:t>
            </w:r>
          </w:p>
        </w:tc>
        <w:tc>
          <w:tcPr>
            <w:tcW w:type="dxa" w:w="2360"/>
            <w:shd w:fill="F1F3ED" w:val="clear"/>
            <w:tcMar>
              <w:top w:type="dxa" w:w="50"/>
              <w:left w:type="dxa" w:w="100"/>
              <w:bottom w:type="dxa" w:w="50"/>
              <w:right w:type="dxa" w:w="100"/>
            </w:tcMar>
          </w:tcPr>
          <w:p>
            <w:r>
              <w:rPr>
                <w:sz w:val="19"/>
                <w:szCs w:val="19"/>
              </w:rPr>
              <w:t xml:space="preserve">3–5 days</w:t>
            </w:r>
          </w:p>
        </w:tc>
      </w:tr>
      <w:tr>
        <w:tc>
          <w:tcPr>
            <w:tcW w:type="dxa" w:w="1900"/>
            <w:tcMar>
              <w:top w:type="dxa" w:w="50"/>
              <w:left w:type="dxa" w:w="100"/>
              <w:bottom w:type="dxa" w:w="50"/>
              <w:right w:type="dxa" w:w="100"/>
            </w:tcMar>
          </w:tcPr>
          <w:p>
            <w:r>
              <w:rPr>
                <w:sz w:val="19"/>
                <w:szCs w:val="19"/>
              </w:rPr>
              <w:t xml:space="preserve">Viewer: raymarch swap</w:t>
            </w:r>
          </w:p>
        </w:tc>
        <w:tc>
          <w:tcPr>
            <w:tcW w:type="dxa" w:w="5100"/>
            <w:tcMar>
              <w:top w:type="dxa" w:w="50"/>
              <w:left w:type="dxa" w:w="100"/>
              <w:bottom w:type="dxa" w:w="50"/>
              <w:right w:type="dxa" w:w="100"/>
            </w:tcMar>
          </w:tcPr>
          <w:p>
            <w:r>
              <w:rPr>
                <w:sz w:val="19"/>
                <w:szCs w:val="19"/>
              </w:rPr>
              <w:t xml:space="preserve">Replace TemperatureVolume internals with Data3DTexture raymarch; props already stable</w:t>
            </w:r>
          </w:p>
        </w:tc>
        <w:tc>
          <w:tcPr>
            <w:tcW w:type="dxa" w:w="2360"/>
            <w:tcMar>
              <w:top w:type="dxa" w:w="50"/>
              <w:left w:type="dxa" w:w="100"/>
              <w:bottom w:type="dxa" w:w="50"/>
              <w:right w:type="dxa" w:w="100"/>
            </w:tcMar>
          </w:tcPr>
          <w:p>
            <w:r>
              <w:rPr>
                <w:sz w:val="19"/>
                <w:szCs w:val="19"/>
              </w:rPr>
              <w:t xml:space="preserve">3–5 days</w:t>
            </w:r>
          </w:p>
        </w:tc>
      </w:tr>
      <w:tr>
        <w:tc>
          <w:tcPr>
            <w:tcW w:type="dxa" w:w="1900"/>
            <w:shd w:fill="F1F3ED" w:val="clear"/>
            <w:tcMar>
              <w:top w:type="dxa" w:w="50"/>
              <w:left w:type="dxa" w:w="100"/>
              <w:bottom w:type="dxa" w:w="50"/>
              <w:right w:type="dxa" w:w="100"/>
            </w:tcMar>
          </w:tcPr>
          <w:p>
            <w:r>
              <w:rPr>
                <w:sz w:val="19"/>
                <w:szCs w:val="19"/>
              </w:rPr>
              <w:t xml:space="preserve">Viewer: advanced</w:t>
            </w:r>
          </w:p>
        </w:tc>
        <w:tc>
          <w:tcPr>
            <w:tcW w:type="dxa" w:w="5100"/>
            <w:shd w:fill="F1F3ED" w:val="clear"/>
            <w:tcMar>
              <w:top w:type="dxa" w:w="50"/>
              <w:left w:type="dxa" w:w="100"/>
              <w:bottom w:type="dxa" w:w="50"/>
              <w:right w:type="dxa" w:w="100"/>
            </w:tcMar>
          </w:tcPr>
          <w:p>
            <w:r>
              <w:rPr>
                <w:sz w:val="19"/>
                <w:szCs w:val="19"/>
              </w:rPr>
              <w:t xml:space="preserve">Section plane, hotspot cards on r3f path, comfort overlay surfacing the new real PMV per room, comparison view</w:t>
            </w:r>
          </w:p>
        </w:tc>
        <w:tc>
          <w:tcPr>
            <w:tcW w:type="dxa" w:w="2360"/>
            <w:shd w:fill="F1F3ED" w:val="clear"/>
            <w:tcMar>
              <w:top w:type="dxa" w:w="50"/>
              <w:left w:type="dxa" w:w="100"/>
              <w:bottom w:type="dxa" w:w="50"/>
              <w:right w:type="dxa" w:w="100"/>
            </w:tcMar>
          </w:tcPr>
          <w:p>
            <w:r>
              <w:rPr>
                <w:sz w:val="19"/>
                <w:szCs w:val="19"/>
              </w:rPr>
              <w:t xml:space="preserve">4–7 days</w:t>
            </w:r>
          </w:p>
        </w:tc>
      </w:tr>
      <w:tr>
        <w:tc>
          <w:tcPr>
            <w:tcW w:type="dxa" w:w="1900"/>
            <w:tcMar>
              <w:top w:type="dxa" w:w="50"/>
              <w:left w:type="dxa" w:w="100"/>
              <w:bottom w:type="dxa" w:w="50"/>
              <w:right w:type="dxa" w:w="100"/>
            </w:tcMar>
          </w:tcPr>
          <w:p>
            <w:r>
              <w:rPr>
                <w:sz w:val="19"/>
                <w:szCs w:val="19"/>
              </w:rPr>
              <w:t xml:space="preserve">11-section BOQ</w:t>
            </w:r>
          </w:p>
        </w:tc>
        <w:tc>
          <w:tcPr>
            <w:tcW w:type="dxa" w:w="5100"/>
            <w:tcMar>
              <w:top w:type="dxa" w:w="50"/>
              <w:left w:type="dxa" w:w="100"/>
              <w:bottom w:type="dxa" w:w="50"/>
              <w:right w:type="dxa" w:w="100"/>
            </w:tcMar>
          </w:tcPr>
          <w:p>
            <w:r>
              <w:rPr>
                <w:sz w:val="19"/>
                <w:szCs w:val="19"/>
              </w:rPr>
              <w:t xml:space="preserve">DONE in face86a (A–K + reconciliation test) — remaining: rate-table review of I/J/K values with AVE’s real numbers</w:t>
            </w:r>
          </w:p>
        </w:tc>
        <w:tc>
          <w:tcPr>
            <w:tcW w:type="dxa" w:w="2360"/>
            <w:tcMar>
              <w:top w:type="dxa" w:w="50"/>
              <w:left w:type="dxa" w:w="100"/>
              <w:bottom w:type="dxa" w:w="50"/>
              <w:right w:type="dxa" w:w="100"/>
            </w:tcMar>
          </w:tcPr>
          <w:p>
            <w:r>
              <w:rPr>
                <w:sz w:val="19"/>
                <w:szCs w:val="19"/>
              </w:rPr>
              <w:t xml:space="preserve">Review only</w:t>
            </w:r>
          </w:p>
        </w:tc>
      </w:tr>
      <w:tr>
        <w:tc>
          <w:tcPr>
            <w:tcW w:type="dxa" w:w="1900"/>
            <w:shd w:fill="F1F3ED" w:val="clear"/>
            <w:tcMar>
              <w:top w:type="dxa" w:w="50"/>
              <w:left w:type="dxa" w:w="100"/>
              <w:bottom w:type="dxa" w:w="50"/>
              <w:right w:type="dxa" w:w="100"/>
            </w:tcMar>
          </w:tcPr>
          <w:p>
            <w:r>
              <w:rPr>
                <w:sz w:val="19"/>
                <w:szCs w:val="19"/>
              </w:rPr>
              <w:t xml:space="preserve">snappyHexMesh (C5)</w:t>
            </w:r>
          </w:p>
        </w:tc>
        <w:tc>
          <w:tcPr>
            <w:tcW w:type="dxa" w:w="5100"/>
            <w:shd w:fill="F1F3ED" w:val="clear"/>
            <w:tcMar>
              <w:top w:type="dxa" w:w="50"/>
              <w:left w:type="dxa" w:w="100"/>
              <w:bottom w:type="dxa" w:w="50"/>
              <w:right w:type="dxa" w:w="100"/>
            </w:tcMar>
          </w:tcPr>
          <w:p>
            <w:r>
              <w:rPr>
                <w:sz w:val="19"/>
                <w:szCs w:val="19"/>
              </w:rPr>
              <w:t xml:space="preserve">Voxel→STL + snappy dicts + mesh-path branch; own validation pass</w:t>
            </w:r>
          </w:p>
        </w:tc>
        <w:tc>
          <w:tcPr>
            <w:tcW w:type="dxa" w:w="2360"/>
            <w:shd w:fill="F1F3ED" w:val="clear"/>
            <w:tcMar>
              <w:top w:type="dxa" w:w="50"/>
              <w:left w:type="dxa" w:w="100"/>
              <w:bottom w:type="dxa" w:w="50"/>
              <w:right w:type="dxa" w:w="100"/>
            </w:tcMar>
          </w:tcPr>
          <w:p>
            <w:r>
              <w:rPr>
                <w:sz w:val="19"/>
                <w:szCs w:val="19"/>
              </w:rPr>
              <w:t xml:space="preserve">5–10 days</w:t>
            </w:r>
          </w:p>
        </w:tc>
      </w:tr>
      <w:tr>
        <w:tc>
          <w:tcPr>
            <w:tcW w:type="dxa" w:w="1900"/>
            <w:tcMar>
              <w:top w:type="dxa" w:w="50"/>
              <w:left w:type="dxa" w:w="100"/>
              <w:bottom w:type="dxa" w:w="50"/>
              <w:right w:type="dxa" w:w="100"/>
            </w:tcMar>
          </w:tcPr>
          <w:p>
            <w:r>
              <w:rPr>
                <w:sz w:val="19"/>
                <w:szCs w:val="19"/>
              </w:rPr>
              <w:t xml:space="preserve">RTS + DXF</w:t>
            </w:r>
          </w:p>
        </w:tc>
        <w:tc>
          <w:tcPr>
            <w:tcW w:type="dxa" w:w="5100"/>
            <w:tcMar>
              <w:top w:type="dxa" w:w="50"/>
              <w:left w:type="dxa" w:w="100"/>
              <w:bottom w:type="dxa" w:w="50"/>
              <w:right w:type="dxa" w:w="100"/>
            </w:tcMar>
          </w:tcPr>
          <w:p>
            <w:r>
              <w:rPr>
                <w:sz w:val="19"/>
                <w:szCs w:val="19"/>
              </w:rPr>
              <w:t xml:space="preserve">Per v2.0 §7; demand-ordered</w:t>
            </w:r>
          </w:p>
        </w:tc>
        <w:tc>
          <w:tcPr>
            <w:tcW w:type="dxa" w:w="2360"/>
            <w:tcMar>
              <w:top w:type="dxa" w:w="50"/>
              <w:left w:type="dxa" w:w="100"/>
              <w:bottom w:type="dxa" w:w="50"/>
              <w:right w:type="dxa" w:w="100"/>
            </w:tcMar>
          </w:tcPr>
          <w:p>
            <w:r>
              <w:rPr>
                <w:sz w:val="19"/>
                <w:szCs w:val="19"/>
              </w:rPr>
              <w:t xml:space="preserve">2–3 weeks combined</w:t>
            </w:r>
          </w:p>
        </w:tc>
      </w:tr>
    </w:tbl>
    <w:tbl>
      <w:tblPr>
        <w:tblW w:type="dxa" w:w="9360"/>
        <w:tblBorders>
          <w:top w:val="single" w:color="148673" w:sz="4"/>
          <w:left w:val="single" w:color="148673" w:sz="12"/>
          <w:bottom w:val="single" w:color="148673" w:sz="4"/>
          <w:right w:val="single" w:color="148673" w:sz="4"/>
          <w:insideH w:val="single" w:color="auto" w:sz="4"/>
          <w:insideV w:val="single" w:color="auto" w:sz="4"/>
        </w:tblBorders>
      </w:tblPr>
      <w:tblGrid>
        <w:gridCol w:w="9360"/>
      </w:tblGrid>
      <w:tr>
        <w:tc>
          <w:tcPr>
            <w:tcW w:type="dxa" w:w="9360"/>
            <w:shd w:fill="FCFDF9" w:val="clear"/>
            <w:tcMar>
              <w:top w:type="dxa" w:w="120"/>
              <w:left w:type="dxa" w:w="160"/>
              <w:bottom w:type="dxa" w:w="120"/>
              <w:right w:type="dxa" w:w="160"/>
            </w:tcMar>
          </w:tcPr>
          <w:p>
            <w:pPr>
              <w:spacing w:after="60"/>
            </w:pPr>
            <w:r>
              <w:rPr>
                <w:b/>
                <w:bCs/>
                <w:color w:val="148673"/>
                <w:sz w:val="21"/>
                <w:szCs w:val="21"/>
              </w:rPr>
              <w:t xml:space="preserve">Sequencing note</w:t>
            </w:r>
          </w:p>
          <w:p>
            <w:r>
              <w:rPr>
                <w:sz w:val="20"/>
                <w:szCs w:val="20"/>
              </w:rPr>
              <w:t xml:space="preserve">C1 has clean stopping points and fits around meet-week; the raymarch and advanced-viewer phases reward long uninterrupted stretches — natural post-July-28 work. Nothing here needs to collide with 480.</w:t>
            </w:r>
          </w:p>
        </w:tc>
      </w:tr>
    </w:tbl>
    <w:p>
      <w:pPr>
        <w:pStyle w:val="Heading1"/>
        <w:spacing w:after="160" w:before="340"/>
      </w:pPr>
      <w:r>
        <w:rPr>
          <w:b/>
          <w:bCs/>
          <w:color w:val="1F3F62"/>
          <w:sz w:val="30"/>
          <w:szCs w:val="30"/>
        </w:rPr>
        <w:t xml:space="preserve">10. Risk Register (delta from v2.0)</w:t>
      </w:r>
    </w:p>
    <w:tbl>
      <w:tblPr>
        <w:tblW w:type="dxa" w:w="9360"/>
        <w:tblBorders>
          <w:top w:val="single" w:color="CAD5CC" w:sz="4"/>
          <w:left w:val="single" w:color="CAD5CC" w:sz="4"/>
          <w:bottom w:val="single" w:color="CAD5CC" w:sz="4"/>
          <w:right w:val="single" w:color="CAD5CC" w:sz="4"/>
          <w:insideH w:val="single" w:color="CAD5CC" w:sz="4"/>
          <w:insideV w:val="single" w:color="CAD5CC" w:sz="4"/>
        </w:tblBorders>
      </w:tblPr>
      <w:tblGrid>
        <w:gridCol w:w="3500"/>
        <w:gridCol w:w="1800"/>
        <w:gridCol w:w="4060"/>
      </w:tblGrid>
      <w:tr>
        <w:trPr>
          <w:tblHeader/>
        </w:trPr>
        <w:tc>
          <w:tcPr>
            <w:tcW w:type="dxa" w:w="3500"/>
            <w:shd w:fill="1F3F62" w:val="clear"/>
            <w:tcMar>
              <w:top w:type="dxa" w:w="60"/>
              <w:left w:type="dxa" w:w="100"/>
              <w:bottom w:type="dxa" w:w="60"/>
              <w:right w:type="dxa" w:w="100"/>
            </w:tcMar>
          </w:tcPr>
          <w:p>
            <w:r>
              <w:rPr>
                <w:b/>
                <w:bCs/>
                <w:color w:val="FFFFFF"/>
                <w:sz w:val="19"/>
                <w:szCs w:val="19"/>
              </w:rPr>
              <w:t xml:space="preserve">Risk</w:t>
            </w:r>
          </w:p>
        </w:tc>
        <w:tc>
          <w:tcPr>
            <w:tcW w:type="dxa" w:w="1800"/>
            <w:shd w:fill="1F3F62" w:val="clear"/>
            <w:tcMar>
              <w:top w:type="dxa" w:w="60"/>
              <w:left w:type="dxa" w:w="100"/>
              <w:bottom w:type="dxa" w:w="60"/>
              <w:right w:type="dxa" w:w="100"/>
            </w:tcMar>
          </w:tcPr>
          <w:p>
            <w:r>
              <w:rPr>
                <w:b/>
                <w:bCs/>
                <w:color w:val="FFFFFF"/>
                <w:sz w:val="19"/>
                <w:szCs w:val="19"/>
              </w:rPr>
              <w:t xml:space="preserve">Change</w:t>
            </w:r>
          </w:p>
        </w:tc>
        <w:tc>
          <w:tcPr>
            <w:tcW w:type="dxa" w:w="4060"/>
            <w:shd w:fill="1F3F62" w:val="clear"/>
            <w:tcMar>
              <w:top w:type="dxa" w:w="60"/>
              <w:left w:type="dxa" w:w="100"/>
              <w:bottom w:type="dxa" w:w="60"/>
              <w:right w:type="dxa" w:w="100"/>
            </w:tcMar>
          </w:tcPr>
          <w:p>
            <w:r>
              <w:rPr>
                <w:b/>
                <w:bCs/>
                <w:color w:val="FFFFFF"/>
                <w:sz w:val="19"/>
                <w:szCs w:val="19"/>
              </w:rPr>
              <w:t xml:space="preserve">Mitigation</w:t>
            </w:r>
          </w:p>
        </w:tc>
      </w:tr>
      <w:tr>
        <w:tc>
          <w:tcPr>
            <w:tcW w:type="dxa" w:w="3500"/>
            <w:tcMar>
              <w:top w:type="dxa" w:w="50"/>
              <w:left w:type="dxa" w:w="100"/>
              <w:bottom w:type="dxa" w:w="50"/>
              <w:right w:type="dxa" w:w="100"/>
            </w:tcMar>
          </w:tcPr>
          <w:p>
            <w:r>
              <w:rPr>
                <w:sz w:val="19"/>
                <w:szCs w:val="19"/>
              </w:rPr>
              <w:t xml:space="preserve">First OpenFOAM run reveals exporter assumptions tests can’t catch</w:t>
            </w:r>
          </w:p>
        </w:tc>
        <w:tc>
          <w:tcPr>
            <w:tcW w:type="dxa" w:w="1800"/>
            <w:tcMar>
              <w:top w:type="dxa" w:w="50"/>
              <w:left w:type="dxa" w:w="100"/>
              <w:bottom w:type="dxa" w:w="50"/>
              <w:right w:type="dxa" w:w="100"/>
            </w:tcMar>
          </w:tcPr>
          <w:p>
            <w:r>
              <w:rPr>
                <w:sz w:val="19"/>
                <w:szCs w:val="19"/>
              </w:rPr>
              <w:t xml:space="preserve">Unchanged (expected)</w:t>
            </w:r>
          </w:p>
        </w:tc>
        <w:tc>
          <w:tcPr>
            <w:tcW w:type="dxa" w:w="4060"/>
            <w:tcMar>
              <w:top w:type="dxa" w:w="50"/>
              <w:left w:type="dxa" w:w="100"/>
              <w:bottom w:type="dxa" w:w="50"/>
              <w:right w:type="dxa" w:w="100"/>
            </w:tcMar>
          </w:tcPr>
          <w:p>
            <w:r>
              <w:rPr>
                <w:sz w:val="19"/>
                <w:szCs w:val="19"/>
              </w:rPr>
              <w:t xml:space="preserve">Section 6 failure table; fixes land with new contract tests</w:t>
            </w:r>
          </w:p>
        </w:tc>
      </w:tr>
      <w:tr>
        <w:tc>
          <w:tcPr>
            <w:tcW w:type="dxa" w:w="3500"/>
            <w:shd w:fill="F1F3ED" w:val="clear"/>
            <w:tcMar>
              <w:top w:type="dxa" w:w="50"/>
              <w:left w:type="dxa" w:w="100"/>
              <w:bottom w:type="dxa" w:w="50"/>
              <w:right w:type="dxa" w:w="100"/>
            </w:tcMar>
          </w:tcPr>
          <w:p>
            <w:r>
              <w:rPr>
                <w:sz w:val="19"/>
                <w:szCs w:val="19"/>
              </w:rPr>
              <w:t xml:space="preserve">Integration drift (building on unapplied patches)</w:t>
            </w:r>
          </w:p>
        </w:tc>
        <w:tc>
          <w:tcPr>
            <w:tcW w:type="dxa" w:w="1800"/>
            <w:shd w:fill="F1F3ED" w:val="clear"/>
            <w:tcMar>
              <w:top w:type="dxa" w:w="50"/>
              <w:left w:type="dxa" w:w="100"/>
              <w:bottom w:type="dxa" w:w="50"/>
              <w:right w:type="dxa" w:w="100"/>
            </w:tcMar>
          </w:tcPr>
          <w:p>
            <w:r>
              <w:rPr>
                <w:sz w:val="19"/>
                <w:szCs w:val="19"/>
              </w:rPr>
              <w:t xml:space="preserve">NEW — it happened</w:t>
            </w:r>
          </w:p>
        </w:tc>
        <w:tc>
          <w:tcPr>
            <w:tcW w:type="dxa" w:w="4060"/>
            <w:shd w:fill="F1F3ED" w:val="clear"/>
            <w:tcMar>
              <w:top w:type="dxa" w:w="50"/>
              <w:left w:type="dxa" w:w="100"/>
              <w:bottom w:type="dxa" w:w="50"/>
              <w:right w:type="dxa" w:w="100"/>
            </w:tcMar>
          </w:tcPr>
          <w:p>
            <w:r>
              <w:rPr>
                <w:sz w:val="19"/>
                <w:szCs w:val="19"/>
              </w:rPr>
              <w:t xml:space="preserve">Section 8 process + CI; patch files named by wave and applied in order</w:t>
            </w:r>
          </w:p>
        </w:tc>
      </w:tr>
      <w:tr>
        <w:tc>
          <w:tcPr>
            <w:tcW w:type="dxa" w:w="3500"/>
            <w:tcMar>
              <w:top w:type="dxa" w:w="50"/>
              <w:left w:type="dxa" w:w="100"/>
              <w:bottom w:type="dxa" w:w="50"/>
              <w:right w:type="dxa" w:w="100"/>
            </w:tcMar>
          </w:tcPr>
          <w:p>
            <w:r>
              <w:rPr>
                <w:sz w:val="19"/>
                <w:szCs w:val="19"/>
              </w:rPr>
              <w:t xml:space="preserve">PMV misread as certified comfort engineering</w:t>
            </w:r>
          </w:p>
        </w:tc>
        <w:tc>
          <w:tcPr>
            <w:tcW w:type="dxa" w:w="1800"/>
            <w:tcMar>
              <w:top w:type="dxa" w:w="50"/>
              <w:left w:type="dxa" w:w="100"/>
              <w:bottom w:type="dxa" w:w="50"/>
              <w:right w:type="dxa" w:w="100"/>
            </w:tcMar>
          </w:tcPr>
          <w:p>
            <w:r>
              <w:rPr>
                <w:sz w:val="19"/>
                <w:szCs w:val="19"/>
              </w:rPr>
              <w:t xml:space="preserve">NEW</w:t>
            </w:r>
          </w:p>
        </w:tc>
        <w:tc>
          <w:tcPr>
            <w:tcW w:type="dxa" w:w="4060"/>
            <w:tcMar>
              <w:top w:type="dxa" w:w="50"/>
              <w:left w:type="dxa" w:w="100"/>
              <w:bottom w:type="dxa" w:w="50"/>
              <w:right w:type="dxa" w:w="100"/>
            </w:tcMar>
          </w:tcPr>
          <w:p>
            <w:r>
              <w:rPr>
                <w:sz w:val="19"/>
                <w:szCs w:val="19"/>
              </w:rPr>
              <w:t xml:space="preserve">pmv.ts documents ISO applicability limits; values unclamped so “far outside comfort” is visible; UI copy should say “ISO 7730 PMV (assumed 1.1 met / 0.5 clo)”</w:t>
            </w:r>
          </w:p>
        </w:tc>
      </w:tr>
      <w:tr>
        <w:tc>
          <w:tcPr>
            <w:tcW w:type="dxa" w:w="3500"/>
            <w:shd w:fill="F1F3ED" w:val="clear"/>
            <w:tcMar>
              <w:top w:type="dxa" w:w="50"/>
              <w:left w:type="dxa" w:w="100"/>
              <w:bottom w:type="dxa" w:w="50"/>
              <w:right w:type="dxa" w:w="100"/>
            </w:tcMar>
          </w:tcPr>
          <w:p>
            <w:r>
              <w:rPr>
                <w:sz w:val="19"/>
                <w:szCs w:val="19"/>
              </w:rPr>
              <w:t xml:space="preserve">Cloud cost surprise</w:t>
            </w:r>
          </w:p>
        </w:tc>
        <w:tc>
          <w:tcPr>
            <w:tcW w:type="dxa" w:w="1800"/>
            <w:shd w:fill="F1F3ED" w:val="clear"/>
            <w:tcMar>
              <w:top w:type="dxa" w:w="50"/>
              <w:left w:type="dxa" w:w="100"/>
              <w:bottom w:type="dxa" w:w="50"/>
              <w:right w:type="dxa" w:w="100"/>
            </w:tcMar>
          </w:tcPr>
          <w:p>
            <w:r>
              <w:rPr>
                <w:sz w:val="19"/>
                <w:szCs w:val="19"/>
              </w:rPr>
              <w:t xml:space="preserve">Unchanged</w:t>
            </w:r>
          </w:p>
        </w:tc>
        <w:tc>
          <w:tcPr>
            <w:tcW w:type="dxa" w:w="4060"/>
            <w:shd w:fill="F1F3ED" w:val="clear"/>
            <w:tcMar>
              <w:top w:type="dxa" w:w="50"/>
              <w:left w:type="dxa" w:w="100"/>
              <w:bottom w:type="dxa" w:w="50"/>
              <w:right w:type="dxa" w:w="100"/>
            </w:tcMar>
          </w:tcPr>
          <w:p>
            <w:r>
              <w:rPr>
                <w:sz w:val="19"/>
                <w:szCs w:val="19"/>
              </w:rPr>
              <w:t xml:space="preserve">max-retries 0, 1h timeout, lifecycle deletion (now committed), 6/min trigger cap already in the route</w:t>
            </w:r>
          </w:p>
        </w:tc>
      </w:tr>
      <w:tr>
        <w:tc>
          <w:tcPr>
            <w:tcW w:type="dxa" w:w="3500"/>
            <w:tcMar>
              <w:top w:type="dxa" w:w="50"/>
              <w:left w:type="dxa" w:w="100"/>
              <w:bottom w:type="dxa" w:w="50"/>
              <w:right w:type="dxa" w:w="100"/>
            </w:tcMar>
          </w:tcPr>
          <w:p>
            <w:r>
              <w:rPr>
                <w:sz w:val="19"/>
                <w:szCs w:val="19"/>
              </w:rPr>
              <w:t xml:space="preserve">Raymarch performance on low-end hardware</w:t>
            </w:r>
          </w:p>
        </w:tc>
        <w:tc>
          <w:tcPr>
            <w:tcW w:type="dxa" w:w="1800"/>
            <w:tcMar>
              <w:top w:type="dxa" w:w="50"/>
              <w:left w:type="dxa" w:w="100"/>
              <w:bottom w:type="dxa" w:w="50"/>
              <w:right w:type="dxa" w:w="100"/>
            </w:tcMar>
          </w:tcPr>
          <w:p>
            <w:r>
              <w:rPr>
                <w:sz w:val="19"/>
                <w:szCs w:val="19"/>
              </w:rPr>
              <w:t xml:space="preserve">Deferred until swap</w:t>
            </w:r>
          </w:p>
        </w:tc>
        <w:tc>
          <w:tcPr>
            <w:tcW w:type="dxa" w:w="4060"/>
            <w:tcMar>
              <w:top w:type="dxa" w:w="50"/>
              <w:left w:type="dxa" w:w="100"/>
              <w:bottom w:type="dxa" w:w="50"/>
              <w:right w:type="dxa" w:w="100"/>
            </w:tcMar>
          </w:tcPr>
          <w:p>
            <w:r>
              <w:rPr>
                <w:sz w:val="19"/>
                <w:szCs w:val="19"/>
              </w:rPr>
              <w:t xml:space="preserve">Instanced-voxel fallback is the shipped default; adaptive step count when raymarch lands</w:t>
            </w:r>
          </w:p>
        </w:tc>
      </w:tr>
    </w:tbl>
    <w:p>
      <w:pPr>
        <w:pStyle w:val="Heading1"/>
        <w:spacing w:after="160" w:before="340"/>
      </w:pPr>
      <w:r>
        <w:rPr>
          <w:b/>
          <w:bCs/>
          <w:color w:val="1F3F62"/>
          <w:sz w:val="30"/>
          <w:szCs w:val="30"/>
        </w:rPr>
        <w:t xml:space="preserve">11. Closing Assessment</w:t>
      </w:r>
    </w:p>
    <w:p>
      <w:pPr>
        <w:spacing w:after="120"/>
      </w:pPr>
      <w:r>
        <w:rPr>
          <w:sz w:val="21"/>
          <w:szCs w:val="21"/>
        </w:rPr>
        <w:t xml:space="preserve">face86a proved the build system works: given a precise plan, the implementation layer arrives fast and largely well-made. Wave 8 proved the review system works: the one thing the implementation could not see — that its own foundation was missing — was caught by re-auditing the integrated tree against the contract, not against the tests it shipped with. Keep both halves. The next milestone that changes what this product IS rather than how good it looks is C1: the day out/result.json holds a real solved field from your own geometry, the Engineering tier stops being architecture and starts being a claim you can defend. Everything in this document is sequenced to get you there without burning the month you’re trying to total 480.</w:t>
      </w:r>
    </w:p>
    <w:p>
      <w:pPr>
        <w:spacing w:after="120"/>
      </w:pPr>
      <w:r>
        <w:rPr>
          <w:i/>
          <w:iCs/>
          <w:color w:val="5B746E"/>
          <w:sz w:val="19"/>
          <w:szCs w:val="19"/>
        </w:rPr>
        <w:t xml:space="preserve">Grounded in commit face86a plus wave8-foundation-and-upgrades.patch. Gate evidence: 30/30 vitest, tsc/eslint clean, price-override smoke PASS, PMV cross-validation ±0.02 vs pythermalcomfort 4.0.2.</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2026-07-07T00:46:25.994Z</dcterms:created>
  <dcterms:modified xsi:type="dcterms:W3CDTF">2026-07-07T00:46:26.010Z</dcterms:modified>
</cp:coreProperties>
</file>

<file path=docProps/custom.xml><?xml version="1.0" encoding="utf-8"?>
<Properties xmlns="http://schemas.openxmlformats.org/officeDocument/2006/custom-properties" xmlns:vt="http://schemas.openxmlformats.org/officeDocument/2006/docPropsVTypes"/>
</file>