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Ремонт и оборудование помещения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описаны требования к ремонту помещения, выбор подрядчиков, используемые для ремонта материалы и оборудование,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условия согласования ремонта помещения с франчайзером.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2.6.1</w:t>
        <w:tab/>
        <w:t xml:space="preserve">Ремонт помещения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того как определились с помещением, вы должны направить в головной офис фотографии и план помещения для создания планограммы. Планограмма – это схема расстановки мебели и оборудования на выбранной площади. Она поможет вам использовать пространство максимально эффективно.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планограммы барбершопа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25565" cy="28308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3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Время для ремонта варьируется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 14 до 21 дней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в зависимости от изначального состояния помещения. Более простые задачи ставит ремонт косметический, срок на который в среднем составляет 14 дней. Для более существенного ремонта, такого как перекладка напольного покрытия, требуется больше времени.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1155cc"/>
            <w:sz w:val="28"/>
            <w:szCs w:val="28"/>
            <w:highlight w:val="white"/>
            <w:u w:val="single"/>
            <w:vertAlign w:val="baseline"/>
            <w:rtl w:val="0"/>
          </w:rPr>
          <w:t xml:space="preserve">Информацию по материалам для ремонта вы найдете 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2.6.2. Выбор подрядчиков для ремонта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мы рекомендуем обратить внимание на тех подрядчиков, с которыми вы уже возможно работали ранее и остались довольны. Или тех, кого вам могут порекомендовать ваши знакомые. Так как важно проводить ремонт с проверенными людьми.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выборе сторонних подрядчиков для ремонта помещения главное не продешевить, так как переделка ремонта выйдет в 2 раза дороже! Есть несколько простых правил выбора бригады для ремонта: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выбирать самую дешевую бригаду;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первом звонке необходимо обратить внимание на то, с кем вы разговариваете. На ваш звонок должен ответить специалист, который неплохо владеет информацией и может дать вам ответы на интересующие вас вопросы;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ознакомиться с прошлыми и нынешними объектами подрядчика;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договор, помимо обязательств сторон, сроков и суммы контракта, должен включать в себя сумму штрафных санкций;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забывайте про человеческий фактор. Очень хорошо, если вы заранее познакомитесь с будущим прорабом, с которым вы будете сотрудничать;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внимательно изучите перечень работ, указанных в смете;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цена ремонта 1 кв.м. не должна превышать средних цен на ремонт в вашем   регионе.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Подрядчика для ремонта в пакете «Под ключ» предоставляет головной офис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trHeight w:val="1632" w:hRule="atLeast"/>
      </w:trPr>
      <w:tc>
        <w:tcPr/>
        <w:p w:rsidR="00000000" w:rsidDel="00000000" w:rsidP="00000000" w:rsidRDefault="00000000" w:rsidRPr="00000000" w14:paraId="00000022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5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Ремонт и оборудование</w:t>
          </w:r>
        </w:p>
      </w:tc>
    </w:tr>
  </w:tbl>
  <w:p w:rsidR="00000000" w:rsidDel="00000000" w:rsidP="00000000" w:rsidRDefault="00000000" w:rsidRPr="00000000" w14:paraId="0000002C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af">
    <w:name w:val="Normal (Web)"/>
    <w:basedOn w:val="a"/>
    <w:uiPriority w:val="99"/>
    <w:unhideWhenUsed w:val="1"/>
    <w:rsid w:val="003044D5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rsid w:val="003044D5"/>
  </w:style>
  <w:style w:type="paragraph" w:styleId="af0">
    <w:name w:val="footnote text"/>
    <w:basedOn w:val="a"/>
    <w:link w:val="af1"/>
    <w:uiPriority w:val="99"/>
    <w:semiHidden w:val="1"/>
    <w:unhideWhenUsed w:val="1"/>
    <w:rsid w:val="003044D5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3044D5"/>
    <w:rPr>
      <w:lang w:eastAsia="en-US"/>
    </w:rPr>
  </w:style>
  <w:style w:type="character" w:styleId="af2">
    <w:name w:val="footnote reference"/>
    <w:uiPriority w:val="99"/>
    <w:semiHidden w:val="1"/>
    <w:unhideWhenUsed w:val="1"/>
    <w:rsid w:val="003044D5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qy_umrAUiV6GOYPydECWCxTEYh5onogx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Bb/wN7BT5AIG9ore2ahXgYuZQ==">AMUW2mXg18sGUR9Vx4bNeIZ3Iw+FfQbEElvzHcBcfZCjU+AQK2b0vRpWtnbd1GHFuNKtBwFw3im8e0Y5r9PplXy9WYpJkgZYzRk07tnzlQNm5M365UMayMY=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2021-04-12T12:21:00Z</dcterms:created>
  <dc:creator>User</dc:creator>
</cp:coreProperties>
</file>