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secure-software-development</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0.0.1-SNAPSHOT</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2024-01-14</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secure-software-development.</w:t>
      </w:r>
    </w:p>
    <w:p w:rsidR="00BB4162" w:rsidRDefault="00BB4162" w:rsidP="00426961">
      <w:pPr>
        <w:rPr>
          <w:lang w:val="en-US"/>
        </w:rPr>
      </w:pPr>
      <w:r>
        <w:rPr>
          <w:lang w:val="en-US"/>
        </w:rPr>
        <w:t>Secure Software Development</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[Java]; Sonar way [XML]; </w:t>
      </w:r>
    </w:p>
    <w:p w:rsidR="00CF2650" w:rsidRDefault="001F5FAC" w:rsidP="00CF2650">
      <w:pPr>
        <w:numPr>
          <w:ilvl w:val="1"/>
          <w:numId w:val="3"/>
        </w:numPr>
      </w:pPr>
      <w:r>
        <w:t>Files</w:t>
      </w:r>
      <w:r w:rsidR="00CF2650">
        <w:t xml:space="preserve">: AYzUz5-m4-8Yp4SfXBny.json; AYzUz6C34-8Yp4SfXBwo.json;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E.png"/>
                  <a:graphic xmlns:a="http://schemas.openxmlformats.org/drawingml/2006/main">
                    <a:graphicData uri="http://schemas.openxmlformats.org/drawingml/2006/picture">
                      <pic:pic xmlns:pic="http://schemas.openxmlformats.org/drawingml/2006/picture">
                        <pic:nvPicPr>
                          <pic:cNvPr id="0" name="Picture 0" descr="E.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1.8 %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0.8 %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38.0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98.3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1</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100.0 %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0h 20min</w:t>
            </w:r>
          </w:p>
        </w:tc>
        <w:tc>
          <w:p>
            <w:r>
              <w:t>-</w:t>
            </w:r>
          </w:p>
        </w:tc>
        <w:tc>
          <w:p>
            <w:r>
              <w:t>0d 5h 20min</w:t>
            </w:r>
          </w:p>
        </w:tc>
        <w:tc>
          <w:p>
            <w:r>
              <w:t>0d 5h 40min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218.0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72.0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1486.0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19.5</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33.3</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1486</w:t>
            </w:r>
          </w:p>
        </w:tc>
      </w:tr>
      <w:tr>
        <w:tc>
          <w:p>
            <w:r>
              <w:t>XML</w:t>
            </w:r>
          </w:p>
        </w:tc>
        <w:tc>
          <w:p>
            <w:r>
              <w:t>90</w:t>
            </w:r>
          </w:p>
        </w:tc>
      </w:tr>
      <w:tr>
        <w:tc>
          <w:p>
            <w:r>
              <w:t>Total</w:t>
            </w:r>
          </w:p>
        </w:tc>
        <w:tc>
          <w:p>
            <w:r>
              <w:t>1576</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1</w:t>
            </w:r>
          </w:p>
        </w:tc>
        <w:tc>
          <w:p>
            <w:r>
              <w:t>0</w:t>
            </w:r>
          </w:p>
        </w:tc>
        <w:tc>
          <w:p>
            <w:r>
              <w:t>2</w:t>
            </w:r>
          </w:p>
        </w:tc>
      </w:tr>
      <w:tr>
        <w:tc>
          <w:p>
            <w:r>
              <w:t>VULNERABILITY</w:t>
            </w:r>
          </w:p>
        </w:tc>
        <w:tc>
          <w:p>
            <w:r>
              <w:t>0</w:t>
            </w:r>
          </w:p>
        </w:tc>
        <w:tc>
          <w:p>
            <w:r>
              <w:t>0</w:t>
            </w:r>
          </w:p>
        </w:tc>
        <w:tc>
          <w:p>
            <w:r>
              <w:t>0</w:t>
            </w:r>
          </w:p>
        </w:tc>
        <w:tc>
          <w:p>
            <w:r>
              <w:t>0</w:t>
            </w:r>
          </w:p>
        </w:tc>
        <w:tc>
          <w:p>
            <w:r>
              <w:t>0</w:t>
            </w:r>
          </w:p>
        </w:tc>
      </w:tr>
      <w:tr>
        <w:tc>
          <w:p>
            <w:r>
              <w:t>CODE_SMELL</w:t>
            </w:r>
          </w:p>
        </w:tc>
        <w:tc>
          <w:p>
            <w:r>
              <w:t>0</w:t>
            </w:r>
          </w:p>
        </w:tc>
        <w:tc>
          <w:p>
            <w:r>
              <w:t>14</w:t>
            </w:r>
          </w:p>
        </w:tc>
        <w:tc>
          <w:p>
            <w:r>
              <w:t>31</w:t>
            </w:r>
          </w:p>
        </w:tc>
        <w:tc>
          <w:p>
            <w:r>
              <w:t>5</w:t>
            </w:r>
          </w:p>
        </w:tc>
        <w:tc>
          <w:p>
            <w:r>
              <w:t>2</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Resources should be closed</w:t>
            </w:r>
          </w:p>
        </w:tc>
        <w:tc>
          <w:p>
            <w:r>
              <w:t xml:space="preserve">Connections, streams, files, and other classes that implement the Closeable interface or its super-interface,
AutoCloseable, needs to be closed after use. Further, that close call must be made in a finally block otherwise
an exception could keep the call from being made. Preferably, when class implements AutoCloseable, resource should be created using
"try-with-resources" pattern and will be closed automatically.
Failure to properly close resources will result in a resource leak which could bring first the application and then perhaps the box the application
is on to their knees.
Noncompliant Code Example
private void readTheFile() throws IOException {
  Path path = Paths.get(this.fileName);
  BufferedReader reader = Files.newBufferedReader(path, this.charset);
  // ...
  reader.close();  // Noncompliant
  // ...
  Files.lines("input.txt").forEach(System.out::println); // Noncompliant: The stream needs to be closed
}
private void doSomething() {
  OutputStream stream = null;
  try {
    for (String property : propertyList) {
      stream = new FileOutputStream("myfile.txt");  // Noncompliant
      // ...
    }
  } catch (Exception e) {
    // ...
  } finally {
    stream.close();  // Multiple streams were opened. Only the last is closed.
  }
}
Compliant Solution
private void readTheFile(String fileName) throws IOException {
    Path path = Paths.get(fileName);
    try (BufferedReader reader = Files.newBufferedReader(path, StandardCharsets.UTF_8)) {
      reader.readLine();
      // ...
    }
    // ..
    try (Stream&amp;lt;String&amp;gt; input = Files.lines("input.txt"))  {
      input.forEach(System.out::println);
    }
}
private void doSomething() {
  OutputStream stream = null;
  try {
    stream = new FileOutputStream("myfile.txt");
    for (String property : propertyList) {
      // ...
    }
  } catch (Exception e) {
    // ...
  } finally {
    stream.close();
  }
}
Exceptions
Instances of the following classes are ignored by this rule because close has no effect:
   java.io.ByteArrayOutputStream 
   java.io.ByteArrayInputStream 
   java.io.CharArrayReader 
   java.io.CharArrayWriter 
   java.io.StringReader 
   java.io.StringWriter 
Java 7 introduced the try-with-resources statement, which implicitly closes Closeables. All resources opened in a try-with-resources
statement are ignored by this rule. 
try (BufferedReader br = new BufferedReader(new FileReader(fileName))) {
  //...
}
catch ( ... ) {
  //...
}
See
   MITRE, CWE-459 - Incomplete Cleanup 
   MITRE, CWE-772 - Missing Release of Resource after Effective Lifetime 
   CERT, FIO04-J. - Release resources when they are no longer needed 
   CERT, FIO42-C. - Close files when they are no longer needed 
   Try With Resources 
</w:t>
            </w:r>
          </w:p>
        </w:tc>
        <w:tc>
          <w:p>
            <w:r>
              <w:t>BUG</w:t>
            </w:r>
          </w:p>
        </w:tc>
        <w:tc>
          <w:p>
            <w:r>
              <w:t>BLOCKER</w:t>
            </w:r>
          </w:p>
        </w:tc>
        <w:tc>
          <w:p>
            <w:r>
              <w:t>2</w:t>
            </w:r>
          </w:p>
        </w:tc>
      </w:tr>
      <w:tr>
        <w:tc>
          <w:p>
            <w:r>
              <w:t>Optional value should only be accessed after calling isPresent()</w:t>
            </w:r>
          </w:p>
        </w:tc>
        <w:tc>
          <w:p>
            <w:r>
              <w:t xml:space="preserve"><![CDATA[Optional value can hold either a value or not. The value held in the Optional can be accessed using the
get() method, but it will throw a 
NoSuchElementException if there is no value present. To avoid the exception, calling the isPresent() or !
isEmpty() method should always be done before any call to get().
Alternatively, note that other methods such as orElse(...), orElseGet(...) or orElseThrow(...) can be used
to specify what to do with an empty Optional.
Noncompliant Code Example
Optional&lt;String&gt; value = this.getOptionalValue();
// ...
String stringValue = value.get(); // Noncompliant
Compliant Solution
Optional&lt;String&gt; value = this.getOptionalValue();
// ...
if (value.isPresent()) {
  String stringValue = value.get();
}
or
Optional&lt;String&gt; value = this.getOptionalValue();
// ...
String stringValue = value.orElse("default");
See
   MITRE, CWE-476 - NULL Pointer Dereference 
]]></w:t>
            </w:r>
          </w:p>
        </w:tc>
        <w:tc>
          <w:p>
            <w:r>
              <w:t>BUG</w:t>
            </w:r>
          </w:p>
        </w:tc>
        <w:tc>
          <w:p>
            <w:r>
              <w:t>MAJOR</w:t>
            </w:r>
          </w:p>
        </w:tc>
        <w:tc>
          <w:p>
            <w:r>
              <w:t>1</w:t>
            </w:r>
          </w:p>
        </w:tc>
      </w:tr>
      <w:tr>
        <w:tc>
          <w:p>
            <w:r>
              <w:t>Methods and field names should not be the same or differ only by capitalization</w:t>
            </w:r>
          </w:p>
        </w:tc>
        <w:tc>
          <w:p>
            <w:r>
              <w:t xml:space="preserve">Looking at the set of methods in a class, including superclass methods, and finding two methods or fields that differ only by capitalization is
confusing to users of the class. It is similarly confusing to have a method and a field which differ only in capitalization or a method and a field
with exactly the same name and visibility.
In the case of methods, it may have been a mistake on the part of the original developer, who intended to override a superclass method, but instead
added a new method with nearly the same name.
Otherwise, this situation simply indicates poor naming. Method names should be action-oriented, and thus contain a verb, which is unlikely in the
case where both a method and a member have the same name (with or without capitalization differences). However, renaming a public method could be
disruptive to callers. Therefore renaming the member is the recommended action.
Noncompliant Code Example
public class Car{
  public DriveTrain drive;
  public void tearDown(){...}
  public void drive() {...}  // Noncompliant; duplicates field name
}
public class MyCar extends Car{
  public void teardown(){...}  // Noncompliant; not an override. It it really what's intended?
  public void drivefast(){...}
  public void driveFast(){...} //Huh?
}
Compliant Solution
public class Car{
  private DriveTrain drive;
  public void tearDown(){...}
  public void drive() {...}  // field visibility reduced
}
public class MyCar extends Car{
  @Override
  public void tearDown(){...}
  public void drivefast(){...}
  public void driveReallyFast(){...}
}
</w:t>
            </w:r>
          </w:p>
        </w:tc>
        <w:tc>
          <w:p>
            <w:r>
              <w:t>CODE_SMELL</w:t>
            </w:r>
          </w:p>
        </w:tc>
        <w:tc>
          <w:p>
            <w:r>
              <w:t>BLOCKER</w:t>
            </w:r>
          </w:p>
        </w:tc>
        <w:tc>
          <w:p>
            <w:r>
              <w:t>1</w:t>
            </w:r>
          </w:p>
        </w:tc>
      </w:tr>
      <w:tr>
        <w:tc>
          <w:p>
            <w:r>
              <w:t>Tests should include assertions</w:t>
            </w:r>
          </w:p>
        </w:tc>
        <w:tc>
          <w:p>
            <w:r>
              <w:t xml:space="preserve"><![CDATA[A test case without assertions ensures only that no exceptions are thrown. Beyond basic runnability, it ensures nothing about the behavior of the
code under test.
This rule raises an exception when no assertions from any of the following known frameworks are found in a test:
   AssertJ 
   Awaitility 
   EasyMock 
   Eclipse Vert.x 
   Fest 1.x and 2.x 
   Hamcrest 
   JMock 
   JMockit 
   JUnit 
   Mockito 
   Rest-assured 2.x, 3.x and 4.x 
   RxJava 1.x and 2.x 
   Selenide 
   Spring's org.springframework.test.web.servlet.ResultActions.andExpect() 
   Truth Framework 
   WireMock 
Furthermore, as new or custom assertion frameworks may be used, the rule can be parametrized to define specific methods that will also be
considered as assertions. No issue will be raised when such methods are found in test cases. The parameter value should have the following format
&lt;FullyQualifiedClassName&gt;#&lt;MethodName&gt;, where MethodName can end with the wildcard character. For constructors,
the pattern should be &lt;FullyQualifiedClassName&gt;#&lt;init&gt;.
Example:&nbsp;com.company.CompareToTester#compare*,com.company.CustomAssert#customAssertMethod,com.company.CheckVerifier#&lt;init&gt;.
Noncompliant Code Example
@Test
public void testDoSomething() {  // Noncompliant
  MyClass myClass = new MyClass();
  myClass.doSomething();
}
Compliant Solution
Example when com.company.CompareToTester#compare* is used as parameter to the rule.
import com.company.CompareToTester;
@Test
public void testDoSomething() {
  MyClass myClass = new MyClass();
  assertNull(myClass.doSomething());  // JUnit assertion
  assertThat(myClass.doSomething()).isNull();  // Fest assertion
}
@Test
public void testDoSomethingElse() {
  MyClass myClass = new MyClass();
  new CompareToTester().compareWith(myClass);  // Compliant - custom assertion method defined as rule parameter
  CompareToTester.compareStatic(myClass);  // Compliant
}
]]></w:t>
            </w:r>
          </w:p>
        </w:tc>
        <w:tc>
          <w:p>
            <w:r>
              <w:t>CODE_SMELL</w:t>
            </w:r>
          </w:p>
        </w:tc>
        <w:tc>
          <w:p>
            <w:r>
              <w:t>BLOCKER</w:t>
            </w:r>
          </w:p>
        </w:tc>
        <w:tc>
          <w:p>
            <w:r>
              <w:t>1</w:t>
            </w:r>
          </w:p>
        </w:tc>
      </w:tr>
      <w:tr>
        <w:tc>
          <w:p>
            <w:r>
              <w:t>Methods should not be empty</w:t>
            </w:r>
          </w:p>
        </w:tc>
        <w:tc>
          <w:p>
            <w:r>
              <w:t xml:space="preserve">There are several reasons for a method not to have a method body:
   It is an unintentional omission, and should be fixed to prevent an unexpected behavior in production. 
   It is not yet, or never will be, supported. In this case an UnsupportedOperationException should be thrown. 
   The method is an intentionally-blank override. In this case a nested comment should explain the reason for the blank override. 
Noncompliant Code Example
public void doSomething() {
}
public void doSomethingElse() {
}
Compliant Solution
@Override
public void doSomething() {
  // Do nothing because of X and Y.
}
@Override
public void doSomethingElse() {
  throw new UnsupportedOperationException();
}
Exceptions
Default (no-argument) constructors are ignored when there are other constructors in the class, as are empty methods in abstract classes.
public abstract class Animal {
  void speak() {  // default implementation ignored
  }
}
</w:t>
            </w:r>
          </w:p>
        </w:tc>
        <w:tc>
          <w:p>
            <w:r>
              <w:t>CODE_SMELL</w:t>
            </w:r>
          </w:p>
        </w:tc>
        <w:tc>
          <w:p>
            <w:r>
              <w:t>CRITICAL</w:t>
            </w:r>
          </w:p>
        </w:tc>
        <w:tc>
          <w:p>
            <w:r>
              <w:t>2</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public void run() {
  prepare("action1");                              // Noncompliant - "action1" is duplicated 3 times
  execute("action1");
  release("action1");
}
@SuppressWarning("all")                            // Compliant - annotations are excluded
private void method1() { /* ... */ }
@SuppressWarning("all")
private void method2() { /* ... */ }
public String method3(String a) {
  System.out.println("'" + a + "'");               // Compliant - literal "'" has less than 5 characters and is excluded
  return "";                                       // Compliant - literal "" has less than 5 characters and is excluded
}
Compliant Solution
private static final String ACTION_1 = "action1";  // Compliant
public void run() {
  prepare(ACTION_1);                               // Compliant
  execute(ACTION_1);
  release(ACTION_1);
}
Exceptions
To prevent generating some false-positives, literals having less than 5 characters are excluded.</w:t>
            </w:r>
          </w:p>
        </w:tc>
        <w:tc>
          <w:p>
            <w:r>
              <w:t>CODE_SMELL</w:t>
            </w:r>
          </w:p>
        </w:tc>
        <w:tc>
          <w:p>
            <w:r>
              <w:t>CRITICAL</w:t>
            </w:r>
          </w:p>
        </w:tc>
        <w:tc>
          <w:p>
            <w:r>
              <w:t>3</w:t>
            </w:r>
          </w:p>
        </w:tc>
      </w:tr>
      <w:tr>
        <w:tc>
          <w:p>
            <w:r>
              <w:t>Source files should not have any duplicated blocks</w:t>
            </w:r>
          </w:p>
        </w:tc>
        <w:tc>
          <w:p>
            <w:r>
              <w:t>An issue is created on a file as soon as there is at least one block of duplicated code on this file</w:t>
            </w:r>
          </w:p>
        </w:tc>
        <w:tc>
          <w:p>
            <w:r>
              <w:t>CODE_SMELL</w:t>
            </w:r>
          </w:p>
        </w:tc>
        <w:tc>
          <w:p>
            <w:r>
              <w:t>MAJOR</w:t>
            </w:r>
          </w:p>
        </w:tc>
        <w:tc>
          <w:p>
            <w:r>
              <w:t>2</w:t>
            </w:r>
          </w:p>
        </w:tc>
      </w:tr>
      <w:tr>
        <w:tc>
          <w:p>
            <w:r>
              <w:t>Unused "private" fields should be removed</w:t>
            </w:r>
          </w:p>
        </w:tc>
        <w:tc>
          <w:p>
            <w:r>
              <w:t>If a private field is declared but not used in the program, it can be considered dead code and should therefore be removed. This will
improve maintainability because developers will not wonder what the variable is used for.
Note that this rule does not take reflection into account, which means that issues will be raised on private fields that are only
accessed using the reflection API.
Noncompliant Code Example
public class MyClass {
  private int foo = 42;
  public int compute(int a) {
    return a * 42;
  }
}
Compliant Solution
public class MyClass {
  public int compute(int a) {
    return a * 42;
  }
}
Exceptions
The Java serialization runtime associates with each serializable class a version number, called serialVersionUID, which is used during
deserialization to verify that the sender and receiver of a serialized object have loaded classes for that object that are compatible with respect to
serialization.
A serializable class can declare its own serialVersionUID explicitly by declaring a field named serialVersionUID that
must be static, final, and of type long. By definition those serialVersionUID fields should not be reported by this rule:
public class MyClass implements java.io.Serializable {
  private static final long serialVersionUID = 42L;
}
Moreover, this rule doesn't raise any issue on annotated fields.</w:t>
            </w:r>
          </w:p>
        </w:tc>
        <w:tc>
          <w:p>
            <w:r>
              <w:t>CODE_SMELL</w:t>
            </w:r>
          </w:p>
        </w:tc>
        <w:tc>
          <w:p>
            <w:r>
              <w:t>MAJOR</w:t>
            </w:r>
          </w:p>
        </w:tc>
        <w:tc>
          <w:p>
            <w:r>
              <w:t>19</w:t>
            </w:r>
          </w:p>
        </w:tc>
      </w:tr>
      <w:tr>
        <w:tc>
          <w:p>
            <w:r>
              <w:t>Local variables should not shadow class fields</w:t>
            </w:r>
          </w:p>
        </w:tc>
        <w:tc>
          <w:p>
            <w:r>
              <w:t xml:space="preserve">Overriding or shadowing a variable declared in an outer scope can strongly impact the readability, and therefore the maintainability, of a piece of
code. Further, it could lead maintainers to introduce bugs because they think they're using one variable but are really using another.
Noncompliant Code Example
class Foo {
  public int myField;
  public void doSomething() {
    int myField = 0;
    ...
  }
}
See
   CERT, DCL01-C. - Do not reuse
  variable names in subscopes 
   CERT, DCL51-J. - Do
  not shadow or obscure identifiers in subscopes 
</w:t>
            </w:r>
          </w:p>
        </w:tc>
        <w:tc>
          <w:p>
            <w:r>
              <w:t>CODE_SMELL</w:t>
            </w:r>
          </w:p>
        </w:tc>
        <w:tc>
          <w:p>
            <w:r>
              <w:t>MAJOR</w:t>
            </w:r>
          </w:p>
        </w:tc>
        <w:tc>
          <w:p>
            <w:r>
              <w:t>1</w:t>
            </w:r>
          </w:p>
        </w:tc>
      </w:tr>
      <w:tr>
        <w:tc>
          <w:p>
            <w:r>
              <w:t>Utility classes should not have public constructors</w:t>
            </w:r>
          </w:p>
        </w:tc>
        <w:tc>
          <w:p>
            <w:r>
              <w:t>Utility classes, which are collections of static members, are not meant to be instantiated. Even abstract utility classes, which can
be extended, should not have public constructors.
Java adds an implicit public constructor to every class which does not define at least one explicitly. Hence, at least one non-public constructor
should be defined.
Noncompliant Code Example
class StringUtils { // Noncompliant
  public static String concatenate(String s1, String s2) {
    return s1 + s2;
  }
}
Compliant Solution
class StringUtils { // Compliant
  private StringUtils() {
    throw new IllegalStateException("Utility class");
  }
  public static String concatenate(String s1, String s2) {
    return s1 + s2;
  }
}
Exceptions
When class contains public static void main(String[] args) method it is not considered as utility class and will be ignored by this
rule.</w:t>
            </w:r>
          </w:p>
        </w:tc>
        <w:tc>
          <w:p>
            <w:r>
              <w:t>CODE_SMELL</w:t>
            </w:r>
          </w:p>
        </w:tc>
        <w:tc>
          <w:p>
            <w:r>
              <w:t>MAJOR</w:t>
            </w:r>
          </w:p>
        </w:tc>
        <w:tc>
          <w:p>
            <w:r>
              <w:t>1</w:t>
            </w:r>
          </w:p>
        </w:tc>
      </w:tr>
      <w:tr>
        <w:tc>
          <w:p>
            <w:r>
              <w:t>Generic exceptions should never be thrown</w:t>
            </w:r>
          </w:p>
        </w:tc>
        <w:tc>
          <w:p>
            <w:r>
              <w:t xml:space="preserve">Using such generic exceptions as Error, RuntimeException, Throwable, and Exception prevents
calling methods from handling true, system-generated exceptions differently than application-generated errors. 
Noncompliant Code Example
public void foo(String bar) throws Throwable {  // Noncompliant
  throw new RuntimeException("My Message");     // Noncompliant
}
Compliant Solution
public void foo(String bar) {
  throw new MyOwnRuntimeException("My Message");
}
Exceptions
Generic exceptions in the signatures of overriding methods are ignored, because overriding method has to follow signature of the throw declaration
in the superclass. The issue will be raised on superclass declaration of the method (or won't be raised at all if superclass is not part of the
analysis).
@Override
public void myMethod() throws Exception {...}
Generic exceptions are also ignored in the signatures of methods that make calls to methods that throw generic exceptions.
public void myOtherMethod throws Exception {
  doTheThing();  // this method throws Exception
}
See
   MITRE, CWE-397 - Declaration of Throws for Generic Exception 
   CERT, ERR07-J. - Do not throw RuntimeException, Exception, or Throwable 
</w:t>
            </w:r>
          </w:p>
        </w:tc>
        <w:tc>
          <w:p>
            <w:r>
              <w:t>CODE_SMELL</w:t>
            </w:r>
          </w:p>
        </w:tc>
        <w:tc>
          <w:p>
            <w:r>
              <w:t>MAJOR</w:t>
            </w:r>
          </w:p>
        </w:tc>
        <w:tc>
          <w:p>
            <w:r>
              <w:t>1</w:t>
            </w:r>
          </w:p>
        </w:tc>
      </w:tr>
      <w:tr>
        <w:tc>
          <w:p>
            <w:r>
              <w:t>"@Override" should be used on overriding and implementing methods</w:t>
            </w:r>
          </w:p>
        </w:tc>
        <w:tc>
          <w:p>
            <w:r>
              <w:t>Using the @Override annotation is useful for two reasons :
   It elicits a warning from the compiler if the annotated method doesn't actually override anything, as in the case of a misspelling. 
   It improves the readability of the source code by making it obvious that methods are overridden. 
Noncompliant Code Example
class ParentClass {
  public boolean doSomething(){...}
}
class FirstChildClass extends ParentClass {
  public boolean doSomething(){...}  // Noncompliant
}
Compliant Solution
class ParentClass {
  public boolean doSomething(){...}
}
class FirstChildClass extends ParentClass {
  @Override
  public boolean doSomething(){...}  // Compliant
}
Exceptions
This rule is relaxed when overriding a method from the Object class like toString(), hashCode(), ...</w:t>
            </w:r>
          </w:p>
        </w:tc>
        <w:tc>
          <w:p>
            <w:r>
              <w:t>CODE_SMELL</w:t>
            </w:r>
          </w:p>
        </w:tc>
        <w:tc>
          <w:p>
            <w:r>
              <w:t>MAJOR</w:t>
            </w:r>
          </w:p>
        </w:tc>
        <w:tc>
          <w:p>
            <w:r>
              <w:t>2</w:t>
            </w:r>
          </w:p>
        </w:tc>
      </w:tr>
      <w:tr>
        <w:tc>
          <w:p>
            <w:r>
              <w:t>A field should not duplicate the name of its containing class</w:t>
            </w:r>
          </w:p>
        </w:tc>
        <w:tc>
          <w:p>
            <w:r>
              <w:t xml:space="preserve">It's confusing to have a class member with the same name (case differences aside) as its enclosing class. This is particularly so when you consider
the common practice of naming a class instance for the class itself.
Best practice dictates that any field or member with the same name as the enclosing class be renamed to be more descriptive of the particular
aspect of the class it represents or holds.
Noncompliant Code Example
public class Foo {
  private String foo;
  public String getFoo() { }
}
Foo foo = new Foo();
foo.getFoo() // what does this return?
Compliant Solution
public class Foo {
  private String name;
  public String getName() { }
}
//...
Foo foo = new Foo();
foo.getName()
Exceptions
When the type of the field is the containing class and that field is static, no issue is raised to allow singletons named like the type. 
public class Foo {
  ...
  private static Foo foo;
  public Foo getInstance() {
    if(foo==null) {
      foo = new Foo();
    }
    return foo;
  }
  ...
}
</w:t>
            </w:r>
          </w:p>
        </w:tc>
        <w:tc>
          <w:p>
            <w:r>
              <w:t>CODE_SMELL</w:t>
            </w:r>
          </w:p>
        </w:tc>
        <w:tc>
          <w:p>
            <w:r>
              <w:t>MAJOR</w:t>
            </w:r>
          </w:p>
        </w:tc>
        <w:tc>
          <w:p>
            <w:r>
              <w:t>3</w:t>
            </w:r>
          </w:p>
        </w:tc>
      </w:tr>
      <w:tr>
        <w:tc>
          <w:p>
            <w:r>
              <w:t>Unused assignments should be removed</w:t>
            </w:r>
          </w:p>
        </w:tc>
        <w:tc>
          <w:p>
            <w: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null, true, false and "".
See
   MITRE, CWE-563 - Assignment to Variable without Use ('Unused Variable') 
   CERT, MSC13-C. - Detect and remove unused values 
   CERT, MSC56-J. - Detect and remove superfluous code and values 
</w:t>
            </w:r>
          </w:p>
        </w:tc>
        <w:tc>
          <w:p>
            <w:r>
              <w:t>CODE_SMELL</w:t>
            </w:r>
          </w:p>
        </w:tc>
        <w:tc>
          <w:p>
            <w:r>
              <w:t>MAJOR</w:t>
            </w:r>
          </w:p>
        </w:tc>
        <w:tc>
          <w:p>
            <w:r>
              <w:t>1</w:t>
            </w:r>
          </w:p>
        </w:tc>
      </w:tr>
      <w:tr>
        <w:tc>
          <w:p>
            <w:r>
              <w:t>Assignments should not be redundant</w:t>
            </w:r>
          </w:p>
        </w:tc>
        <w:tc>
          <w:p>
            <w:r>
              <w:t xml:space="preserve">The transitive property says that if a == b and b == c, then a == c. In such cases, there's no point in
assigning a to c or vice versa because they're already equivalent. 
This rule raises an issue when an assignment is useless because the assigned-to variable already holds the value on all execution paths.
Noncompliant Code Example
a = b;
c = a;
b = c; // Noncompliant: c and b are already the same
Compliant Solution
a = b;
c = a;
</w:t>
            </w:r>
          </w:p>
        </w:tc>
        <w:tc>
          <w:p>
            <w:r>
              <w:t>CODE_SMELL</w:t>
            </w:r>
          </w:p>
        </w:tc>
        <w:tc>
          <w:p>
            <w:r>
              <w:t>MAJOR</w:t>
            </w:r>
          </w:p>
        </w:tc>
        <w:tc>
          <w:p>
            <w:r>
              <w:t>1</w:t>
            </w:r>
          </w:p>
        </w:tc>
      </w:tr>
      <w:tr>
        <w:tc>
          <w:p>
            <w:r>
              <w:t>Method names should comply with a naming convention</w:t>
            </w:r>
          </w:p>
        </w:tc>
        <w:tc>
          <w:p>
            <w:r>
              <w:t xml:space="preserve">Shared naming conventions allow teams to collaborate efficiently. This rule checks that all method names match a provided regular expression.
Noncompliant Code Example
With default provided regular expression ^[a-z][a-zA-Z0-9]*$:
public int DoSomething(){...}
Compliant Solution
public int doSomething(){...}
Exceptions
Overriding methods are excluded. 
@Override
public int Do_Something(){...}
</w:t>
            </w:r>
          </w:p>
        </w:tc>
        <w:tc>
          <w:p>
            <w:r>
              <w:t>CODE_SMELL</w:t>
            </w:r>
          </w:p>
        </w:tc>
        <w:tc>
          <w:p>
            <w:r>
              <w:t>MINOR</w:t>
            </w:r>
          </w:p>
        </w:tc>
        <w:tc>
          <w:p>
            <w:r>
              <w:t>1</w:t>
            </w:r>
          </w:p>
        </w:tc>
      </w:tr>
      <w:tr>
        <w:tc>
          <w:p>
            <w:r>
              <w:t>Empty statements should be removed</w:t>
            </w:r>
          </w:p>
        </w:tc>
        <w:tc>
          <w:p>
            <w:r>
              <w:t xml:space="preserve">Empty statements, i.e. ;, are usually introduced by mistake, for example because:
   It was meant to be replaced by an actual statement, but this was forgotten. 
   There was a typo which lead the semicolon to be doubled, i.e. ;;. 
Noncompliant Code Example
void doSomething() {
  ;                                                       // Noncompliant - was used as a kind of TODO marker
}
void doSomethingElse() {
  System.out.println("Hello, world!");;                     // Noncompliant - double ;
  ...
}
Compliant Solution
void doSomething() {}
void doSomethingElse() {
  System.out.println("Hello, world!");
  ...
  for (int i = 0; i &amp;lt; 3; i++) ; // compliant if unique statement of a loop
  ...
}
See
   CERT, MSC12-C. - Detect and remove code that has no effect or is never executed
   CERT, MSC51-J. - Do not place a semicolon immediately following an if, for, or while
  condition 
   CERT, EXP15-C. - Do not place a semicolon on the same line as an if, for, or while
  statement 
</w:t>
            </w:r>
          </w:p>
        </w:tc>
        <w:tc>
          <w:p>
            <w:r>
              <w:t>CODE_SMELL</w:t>
            </w:r>
          </w:p>
        </w:tc>
        <w:tc>
          <w:p>
            <w:r>
              <w:t>MINOR</w:t>
            </w:r>
          </w:p>
        </w:tc>
        <w:tc>
          <w:p>
            <w:r>
              <w:t>1</w:t>
            </w:r>
          </w:p>
        </w:tc>
      </w:tr>
      <w:tr>
        <w:tc>
          <w:p>
            <w:r>
              <w:t>Unnecessary imports should be removed</w:t>
            </w:r>
          </w:p>
        </w:tc>
        <w:tc>
          <w:p>
            <w:r>
              <w:t>The imports part of a file should be handled by the Integrated Development Environment (IDE), not manually by the developer. 
Unused and useless imports should not occur if that is the case. 
Leaving them in reduces the code's readability, since their presence can be confusing.
Noncompliant Code Example
package my.company;
import java.lang.String;        // Noncompliant; java.lang classes are always implicitly imported
import my.company.SomeClass;    // Noncompliant; same-package files are always implicitly imported
import java.io.File;            // Noncompliant; File is not used
import my.company2.SomeType;
import my.company2.SomeType;    // Noncompliant; 'SomeType' is already imported
class ExampleClass {
  public String someString;
  public SomeType something;
}
Exceptions
Imports for types mentioned in comments, such as Javadocs, are ignored.</w:t>
            </w:r>
          </w:p>
        </w:tc>
        <w:tc>
          <w:p>
            <w:r>
              <w:t>CODE_SMELL</w:t>
            </w:r>
          </w:p>
        </w:tc>
        <w:tc>
          <w:p>
            <w:r>
              <w:t>MINOR</w:t>
            </w:r>
          </w:p>
        </w:tc>
        <w:tc>
          <w:p>
            <w:r>
              <w:t>6</w:t>
            </w:r>
          </w:p>
        </w:tc>
      </w:tr>
      <w:tr>
        <w:tc>
          <w:p>
            <w:r>
              <w:t>"throws" declarations should not be superfluous</w:t>
            </w:r>
          </w:p>
        </w:tc>
        <w:tc>
          <w:p>
            <w:r>
              <w:t xml:space="preserve">An exception in a throws declaration in Java is superfluous if it is:
   listed multiple times 
   a subclass of another listed exception 
   completely unnecessary because the declared exception type cannot actually be thrown 
Noncompliant Code Example
void foo() throws MyException, MyException {}  // Noncompliant; should be listed once
void bar() throws Throwable, Exception {}  // Noncompliant; Exception is a subclass of Throwable
Compliant Solution
void foo() throws MyException {}
void bar() throws Throwable {}
Exceptions
The rule will not raise any issue for exceptions that cannot be thrown from the method body:
   in overriding and implementation methods 
   in interface default methods 
   in non-private methods that only throw, have empty bodies, or a single return statement. 
   in overridable methods (non-final, or not member of a final class, non-static, non-private), if the exception is documented with a proper
  JavaDoc 
Also, the rule won't raise issues on RuntimeException, or one of its descendants, because explicating runtime exceptions which could
be thrown can ultimately help the method's users, and can even be considered as good practice.
class A extends B {
  @Override
  void doSomething() throws IOException {
    compute(a);
  }
  public void foo() throws IOException {}
  public void qix() throws MyRuntimeException {}
  protected void bar() throws IOException {
    throw new UnsupportedOperationException("This method should be implemented in subclasses");
  }
  Object foobar(String s) throws IOException {
    return null;
  }
  /**
   * @throws IOException Overriding classes may throw this exception if they print values into a file
   */
  protected void print() throws IOException { // no issue, method is overridable and the exception has proper javadoc
    System.out.println("foo");
  }
}
</w:t>
            </w:r>
          </w:p>
        </w:tc>
        <w:tc>
          <w:p>
            <w:r>
              <w:t>CODE_SMELL</w:t>
            </w:r>
          </w:p>
        </w:tc>
        <w:tc>
          <w:p>
            <w:r>
              <w:t>MINOR</w:t>
            </w:r>
          </w:p>
        </w:tc>
        <w:tc>
          <w:p>
            <w:r>
              <w:t>1</w:t>
            </w:r>
          </w:p>
        </w:tc>
      </w:tr>
      <w:tr>
        <w:tc>
          <w:p>
            <w:r>
              <w:t>Collection.isEmpty() should be used to test for emptiness</w:t>
            </w:r>
          </w:p>
        </w:tc>
        <w:tc>
          <w:p>
            <w:r>
              <w:t xml:space="preserve">Using Collection.size() to test for emptiness works, but using Collection.isEmpty() makes the code more readable and can
be more performant. The time complexity of any isEmpty() method implementation should be O(1) whereas some implementations
of size() can be O(n).
Noncompliant Code Example
if (myCollection.size() == 0) {  // Noncompliant
  /* ... */
}
Compliant Solution
if (myCollection.isEmpty()) {
  /* ... */
}
</w:t>
            </w:r>
          </w:p>
        </w:tc>
        <w:tc>
          <w:p>
            <w:r>
              <w:t>CODE_SMELL</w:t>
            </w:r>
          </w:p>
        </w:tc>
        <w:tc>
          <w:p>
            <w:r>
              <w:t>MINOR</w:t>
            </w:r>
          </w:p>
        </w:tc>
        <w:tc>
          <w:p>
            <w:r>
              <w:t>1</w:t>
            </w:r>
          </w:p>
        </w:tc>
      </w:tr>
      <w:tr>
        <w:tc>
          <w:p>
            <w:r>
              <w:t>Field names should comply with a naming convention</w:t>
            </w:r>
          </w:p>
        </w:tc>
        <w:tc>
          <w:p>
            <w:r>
              <w:t xml:space="preserve">Sharing some naming conventions is a key point to make it possible for a team to efficiently collaborate. This rule allows to check that field
names match a provided regular expression.
Noncompliant Code Example
With the default regular expression ^[a-z][a-zA-Z0-9]*$:
class MyClass {
   private int my_field;
}
Compliant Solution
class MyClass {
   private int myField;
}
</w:t>
            </w:r>
          </w:p>
        </w:tc>
        <w:tc>
          <w:p>
            <w:r>
              <w:t>CODE_SMELL</w:t>
            </w:r>
          </w:p>
        </w:tc>
        <w:tc>
          <w:p>
            <w:r>
              <w:t>MINOR</w:t>
            </w:r>
          </w:p>
        </w:tc>
        <w:tc>
          <w:p>
            <w:r>
              <w:t>1</w:t>
            </w:r>
          </w:p>
        </w:tc>
      </w:tr>
      <w:tr>
        <w:tc>
          <w:p>
            <w:r>
              <w:t>Unused local variables should be removed</w:t>
            </w:r>
          </w:p>
        </w:tc>
        <w:tc>
          <w:p>
            <w:r>
              <w:t xml:space="preserve">If a local variable is declared but not used, it is dead code and should be removed. Doing so will improve maintainability because developers will
not wonder what the variable is used for.
Noncompliant Code Example
public int numberOfMinutes(int hours) {
  int seconds = 0;   // seconds is never used
  return hours * 60;
}
Compliant Solution
public int numberOfMinutes(int hours) {
  return hours * 60;
}
</w:t>
            </w:r>
          </w:p>
        </w:tc>
        <w:tc>
          <w:p>
            <w:r>
              <w:t>CODE_SMELL</w:t>
            </w:r>
          </w:p>
        </w:tc>
        <w:tc>
          <w:p>
            <w:r>
              <w:t>MINOR</w:t>
            </w:r>
          </w:p>
        </w:tc>
        <w:tc>
          <w:p>
            <w:r>
              <w:t>1</w:t>
            </w:r>
          </w:p>
        </w:tc>
      </w:tr>
      <w:tr>
        <w:tc>
          <w:p>
            <w:r>
              <w:t>Local variables should not be declared and then immediately returned or thrown</w:t>
            </w:r>
          </w:p>
        </w:tc>
        <w:tc>
          <w:p>
            <w:r>
              <w:t xml:space="preserve">Declaring a variable only to immediately return or throw it is a bad practice.
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
Noncompliant Code Example
public long computeDurationInMilliseconds() {
  long duration = (((hours * 60) + minutes) * 60 + seconds ) * 1000 ;
  return duration;
}
public void doSomething() {
  RuntimeException myException = new RuntimeException();
  throw myException;
}
Compliant Solution
public long computeDurationInMilliseconds() {
  return (((hours * 60) + minutes) * 60 + seconds ) * 1000 ;
}
public void doSomething() {
  throw new RuntimeException();
}
</w:t>
            </w:r>
          </w:p>
        </w:tc>
        <w:tc>
          <w:p>
            <w:r>
              <w:t>CODE_SMELL</w:t>
            </w:r>
          </w:p>
        </w:tc>
        <w:tc>
          <w:p>
            <w:r>
              <w:t>MINOR</w:t>
            </w:r>
          </w:p>
        </w:tc>
        <w:tc>
          <w:p>
            <w:r>
              <w:t>1</w:t>
            </w:r>
          </w:p>
        </w:tc>
      </w:tr>
      <w:tr>
        <w:tc>
          <w:p>
            <w:r>
              <w:t>Lambdas should be replaced with method references</w:t>
            </w:r>
          </w:p>
        </w:tc>
        <w:tc>
          <w:p>
            <w:r>
              <w:t xml:space="preserve"><![CDATA[Method/constructor references are commonly agreed to be, most of the time, more compact and readable than using lambdas, and are therefore
preferred. 
In some rare cases, when it is not clear from the context what kind of function is being described and reference would not increase the clarity, it
might be fine to keep the lambda. 
Similarly, null checks can be replaced with references to the Objects::isNull and Objects::nonNull methods,
casts can be replaced with SomeClass.class::cast and instanceof can be replaced with
SomeClass.class::isInstance.
Note that this rule is automatically disabled when the project's sonar.java.source is lower than 8.
Noncompliant Code Example
class A {
  void process(List&lt;A&gt; list) {
    list.stream()
      .filter(a -&gt; a instanceof B)
      .map(a -&gt; (B) a)
      .map(b -&gt; b.&lt;String&gt;getObject())
      .forEach(b -&gt; { System.out.println(b); });
  }
}
class B extends A {
  &lt;T&gt; T getObject() {
    return null;
  }
}
Compliant Solution
class A {
  void process(List&lt;A&gt; list) {
    list.stream()
      .filter(B.class::isInstance)
      .map(B.class::cast)
      .map(B::&lt;String&gt;getObject)
      .forEach(System.out::println);
  }
}
class B extends A {
  &lt;T&gt; T getObject() {
    return null;
  }
}
]]></w:t>
            </w:r>
          </w:p>
        </w:tc>
        <w:tc>
          <w:p>
            <w:r>
              <w:t>CODE_SMELL</w:t>
            </w:r>
          </w:p>
        </w:tc>
        <w:tc>
          <w:p>
            <w:r>
              <w:t>MINOR</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21</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1</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21</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Insecure Configuration</w:t>
            </w:r>
          </w:p>
        </w:tc>
        <w:tc>
          <w:p>
            <w:r>
              <w:t>Delivering code in production with debug features activated is security-sensitive</w:t>
            </w:r>
          </w:p>
        </w:tc>
        <w:tc>
          <w:p>
            <w:r>
              <w:t>LOW</w:t>
            </w:r>
          </w:p>
        </w:tc>
        <w:tc>
          <w:p>
            <w:r>
              <w:t>MINOR</w:t>
            </w:r>
          </w:p>
        </w:tc>
        <w:tc>
          <w:p>
            <w:r>
              <w:t>21</w:t>
            </w:r>
          </w:p>
        </w:tc>
      </w:tr>
      <w:tr>
        <w:tc>
          <w:p>
            <w:r>
              <w:t>SQL Injection</w:t>
            </w:r>
          </w:p>
        </w:tc>
        <w:tc>
          <w:p>
            <w:r>
              <w:t>Formatting SQL queries is security-sensitive</w:t>
            </w:r>
          </w:p>
        </w:tc>
        <w:tc>
          <w:p>
            <w:r>
              <w:t>HIGH</w:t>
            </w:r>
          </w:p>
        </w:tc>
        <w:tc>
          <w:p>
            <w:r>
              <w:t>MAJOR</w:t>
            </w:r>
          </w:p>
        </w:tc>
        <w:tc>
          <w:p>
            <w:r>
              <w:t>21</w:t>
            </w:r>
          </w:p>
        </w:tc>
      </w:tr>
      <w:tr>
        <w:tc>
          <w:p>
            <w:r>
              <w:t>Cross-Site Request Forgery (CSRF)</w:t>
            </w:r>
          </w:p>
        </w:tc>
        <w:tc>
          <w:p>
            <w:r>
              <w:t>Disabling CSRF protections is security-sensitive</w:t>
            </w:r>
          </w:p>
        </w:tc>
        <w:tc>
          <w:p>
            <w:r>
              <w:t>HIGH</w:t>
            </w:r>
          </w:p>
        </w:tc>
        <w:tc>
          <w:p>
            <w:r>
              <w:t>CRITICAL</w:t>
            </w:r>
          </w:p>
        </w:tc>
        <w:tc>
          <w:p>
            <w:r>
              <w:t>1</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secure-software-development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4</c:v>
                </c:pt>
                <c:pt idx="1">
                  <c:v>5</c:v>
                </c:pt>
                <c:pt idx="2">
                  <c:v>32</c:v>
                </c:pt>
                <c:pt idx="3">
                  <c:v>14</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3</c:v>
                </c:pt>
                <c:pt idx="1">
                  <c:v>0</c:v>
                </c:pt>
                <c:pt idx="2">
                  <c:v>52</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45295.65238425926</c:v>
                </c:pt>
              </c:numCache>
            </c:numRef>
          </c:xVal>
          <c:yVal>
            <c:numRef>
              <c:f>Feuil1!$B$2:$B$3</c:f>
              <c:numCache>
                <c:formatCode>General</c:formatCode>
                <c:ptCount val="2"/>
                <c:pt idx="0">
                  <c:v>55</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45295.65238425926</c:v>
                </c:pt>
              </c:numCache>
            </c:numRef>
          </c:xVal>
          <c:yVal>
            <c:numRef>
              <c:f>Feuil1!$B$2:$B$3</c:f>
              <c:numCache>
                <c:formatCode>General</c:formatCode>
                <c:ptCount val="2"/>
                <c:pt idx="0">
                  <c:v>0.7</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