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547A0">
      <w:pPr>
        <w:spacing w:line="360" w:lineRule="auto"/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Ackow</w:t>
      </w:r>
      <w:r>
        <w:rPr>
          <w:rFonts w:hint="eastAsia"/>
          <w:b/>
          <w:bCs/>
          <w:sz w:val="52"/>
          <w:szCs w:val="52"/>
          <w:lang w:val="en-US" w:eastAsia="zh-CN"/>
        </w:rPr>
        <w:t>的个人主页策划案</w:t>
      </w:r>
    </w:p>
    <w:p w14:paraId="463C1E7C">
      <w:pPr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一、项目概述</w:t>
      </w:r>
    </w:p>
    <w:p w14:paraId="61B6366A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项目名称：Ackow 个人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主页</w:t>
      </w:r>
    </w:p>
    <w:p w14:paraId="3909E467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定位：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展示个人作品和专业技能的平台，以“代码即艺术”为核心理念，打造兼具视觉吸引力与技术深度的个人品牌门户。</w:t>
      </w:r>
    </w:p>
    <w:p w14:paraId="0EC653F8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核心目标：</w:t>
      </w:r>
    </w:p>
    <w:p w14:paraId="1B551E97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系统性展示技术项目成果与开发能力。</w:t>
      </w:r>
    </w:p>
    <w:p w14:paraId="3845C1F2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通过创新交互设计强化访客记忆点。</w:t>
      </w:r>
    </w:p>
    <w:p w14:paraId="51C92EDC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C0A5EBB">
      <w:pPr>
        <w:spacing w:line="360" w:lineRule="auto"/>
        <w:jc w:val="left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二、核心架构设计</w:t>
      </w:r>
    </w:p>
    <w:p w14:paraId="721FC448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全局布局</w:t>
      </w:r>
    </w:p>
    <w:p w14:paraId="46A756EF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（1）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头部导航：固定于页面顶部，包含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（Ackow）、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导航栏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主页、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作品、博客、联系）及工具组（主题切换、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语言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）。</w:t>
      </w:r>
    </w:p>
    <w:p w14:paraId="427A0062"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（2）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动态背景：首屏采用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动态背景、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浮动标语（“Ackow here, ready to unlock...”）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 w14:paraId="3841F25E"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（3）主页滑动：主页向下滑动时，呈现两个板块（作品全览和技术栈展示），网页背景自然过渡。</w:t>
      </w:r>
    </w:p>
    <w:p w14:paraId="1A99118E"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·作品全览板块：个人作品画面和一些关键词在主页上轮换播放轮换播放，吸引用户眼球。</w:t>
      </w:r>
    </w:p>
    <w:p w14:paraId="37292059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·技术栈展示板块：通过词云+交互式显示的方式向用户展示个人的专业技能。</w:t>
      </w:r>
      <w:bookmarkStart w:id="0" w:name="_GoBack"/>
      <w:bookmarkEnd w:id="0"/>
    </w:p>
    <w:p w14:paraId="5AE21C39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页面逻辑</w:t>
      </w:r>
    </w:p>
    <w:p w14:paraId="2D379177">
      <w:pPr>
        <w:spacing w:line="360" w:lineRule="auto"/>
        <w:jc w:val="left"/>
        <w:rPr>
          <w:rFonts w:hint="eastAsia" w:eastAsiaTheme="minorEastAsia"/>
          <w:lang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用户路径：动态背景吸引停留 → 作品轮播展示核心能力 → 技能图谱强化专业形象 → 博客内容输出观点 → 联系入口促成转化。</w:t>
      </w:r>
    </w:p>
    <w:p w14:paraId="102CD13B">
      <w:pPr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17520" cy="1894205"/>
            <wp:effectExtent l="0" t="0" r="5080" b="10795"/>
            <wp:docPr id="1" name="图片 1" descr="99C31617-DE0C-46BC-84F0-EF9AB44E5937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C31617-DE0C-46BC-84F0-EF9AB44E5937_1_201_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22DE"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布局设计草图</w:t>
      </w:r>
    </w:p>
    <w:p w14:paraId="3C3D3A6F"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51835" cy="1945640"/>
            <wp:effectExtent l="0" t="0" r="0" b="0"/>
            <wp:docPr id="2" name="图片 2" descr="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7EF9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布局设计</w:t>
      </w:r>
    </w:p>
    <w:p w14:paraId="7A385B86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1075" cy="1793875"/>
            <wp:effectExtent l="0" t="0" r="0" b="0"/>
            <wp:docPr id="3" name="图片 3" descr="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71C9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结构设计</w:t>
      </w:r>
    </w:p>
    <w:p w14:paraId="3CD53291">
      <w:pPr>
        <w:spacing w:line="360" w:lineRule="auto"/>
        <w:jc w:val="left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 w14:paraId="515ACA02">
      <w:pPr>
        <w:spacing w:line="360" w:lineRule="auto"/>
        <w:jc w:val="left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三、视觉风格与交互设计</w:t>
      </w:r>
    </w:p>
    <w:p w14:paraId="1C97FEB0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1. 视觉系统</w:t>
      </w:r>
    </w:p>
    <w:p w14:paraId="766D0453">
      <w:pPr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色彩方案：以科技深蓝为主色调，霓虹青为强调色，象征理性与创新的结合。</w:t>
      </w:r>
    </w:p>
    <w:p w14:paraId="41C46F44">
      <w:pPr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动态元素：</w:t>
      </w:r>
    </w:p>
    <w:p w14:paraId="74368F1A">
      <w:pPr>
        <w:spacing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加载动画：ASCII字符组成的数字雨效果。</w:t>
      </w:r>
    </w:p>
    <w:p w14:paraId="664B9D4C">
      <w:pPr>
        <w:spacing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背景特效：流动的数据线交织成网状结构。</w:t>
      </w:r>
    </w:p>
    <w:p w14:paraId="2E845533">
      <w:pPr>
        <w:spacing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字体设计：代码区使用等宽字体（Space Mono），正文采用无衬线字体（Inter），兼顾技术感与可读性。</w:t>
      </w:r>
    </w:p>
    <w:p w14:paraId="1824F244">
      <w:pPr>
        <w:numPr>
          <w:ilvl w:val="0"/>
          <w:numId w:val="1"/>
        </w:num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关键交互</w:t>
      </w:r>
    </w:p>
    <w:p w14:paraId="765C7064">
      <w:pPr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作品展示：</w:t>
      </w:r>
    </w:p>
    <w:p w14:paraId="58791C95">
      <w:pPr>
        <w:spacing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卡片悬停时展开全息投影效果，显示技术细节与成果数据。</w:t>
      </w:r>
    </w:p>
    <w:p w14:paraId="6483C11C">
      <w:pPr>
        <w:spacing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方向键控制轮播，Enter键打开项目详情页。</w:t>
      </w:r>
    </w:p>
    <w:p w14:paraId="1985BA08">
      <w:pPr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主题切换：</w:t>
      </w:r>
    </w:p>
    <w:p w14:paraId="7D4593CA">
      <w:pPr>
        <w:spacing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明暗模式渐变过渡，图标同步旋转180度，用户偏好自动保存。</w:t>
      </w:r>
    </w:p>
    <w:p w14:paraId="292DD40F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0839938">
      <w:pPr>
        <w:numPr>
          <w:ilvl w:val="0"/>
          <w:numId w:val="2"/>
        </w:numPr>
        <w:spacing w:line="360" w:lineRule="auto"/>
        <w:jc w:val="left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技术实现方案</w:t>
      </w:r>
    </w:p>
    <w:p w14:paraId="1CE69523">
      <w:pPr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HTML5+CSS+JavaScript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Helvetica Neue"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Tahoma">
    <w:panose1 w:val="020B0804030504040204"/>
    <w:charset w:val="00"/>
    <w:family w:val="auto"/>
    <w:pitch w:val="default"/>
    <w:sig w:usb0="00000000" w:usb1="00000000" w:usb2="00000029" w:usb3="00000000" w:csb0="200101FF" w:csb1="20280000"/>
  </w:font>
  <w:font w:name="汉仪中黑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F0664"/>
    <w:multiLevelType w:val="singleLevel"/>
    <w:tmpl w:val="EFFF066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F9D416"/>
    <w:multiLevelType w:val="singleLevel"/>
    <w:tmpl w:val="5EF9D41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2025-03-15T22:25:00Z</dcterms:created>
  <dc:creator>mac</dc:creator>
  <cp:lastModifiedBy>iPhone</cp:lastModifiedBy>
  <dcterms:modified xsi:type="dcterms:W3CDTF">2025-03-15T15:48:55Z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2052-12.20.0</vt:lpwstr>
  </property>
  <property fmtid="{D5CDD505-2E9C-101B-9397-08002B2CF9AE}" pid="3" name="ICV">
    <vt:lpwstr>36E6CD06320503E6E730D56771DC28B4_33</vt:lpwstr>
  </property>
</Properties>
</file>